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9DC" w:rsidRPr="002955FD" w:rsidRDefault="006649DC" w:rsidP="000209A0">
      <w:pPr>
        <w:jc w:val="center"/>
        <w:rPr>
          <w:rFonts w:ascii="Bookman Old Style" w:hAnsi="Bookman Old Style"/>
          <w:b/>
          <w:bCs/>
          <w:sz w:val="22"/>
          <w:szCs w:val="22"/>
        </w:rPr>
      </w:pPr>
      <w:r w:rsidRPr="002955FD">
        <w:rPr>
          <w:rFonts w:ascii="Bookman Old Style" w:hAnsi="Bookman Old Style"/>
          <w:b/>
          <w:bCs/>
          <w:sz w:val="22"/>
          <w:szCs w:val="22"/>
        </w:rPr>
        <w:t>CIRCOLARE INFORMATIVA</w:t>
      </w:r>
    </w:p>
    <w:p w:rsidR="006649DC" w:rsidRPr="002955FD" w:rsidRDefault="006649DC" w:rsidP="002955FD">
      <w:pPr>
        <w:jc w:val="center"/>
        <w:rPr>
          <w:rFonts w:ascii="Bookman Old Style" w:hAnsi="Bookman Old Style"/>
          <w:b/>
          <w:bCs/>
          <w:sz w:val="22"/>
          <w:szCs w:val="22"/>
        </w:rPr>
      </w:pPr>
      <w:r>
        <w:rPr>
          <w:rFonts w:ascii="Bookman Old Style" w:hAnsi="Bookman Old Style"/>
          <w:b/>
          <w:bCs/>
          <w:sz w:val="22"/>
          <w:szCs w:val="22"/>
        </w:rPr>
        <w:t>febbraio</w:t>
      </w:r>
      <w:r w:rsidRPr="002955FD">
        <w:rPr>
          <w:rFonts w:ascii="Bookman Old Style" w:hAnsi="Bookman Old Style"/>
          <w:b/>
          <w:bCs/>
          <w:sz w:val="22"/>
          <w:szCs w:val="22"/>
        </w:rPr>
        <w:t xml:space="preserve"> 201</w:t>
      </w:r>
      <w:r>
        <w:rPr>
          <w:rFonts w:ascii="Bookman Old Style" w:hAnsi="Bookman Old Style"/>
          <w:b/>
          <w:bCs/>
          <w:sz w:val="22"/>
          <w:szCs w:val="22"/>
        </w:rPr>
        <w:t>8</w:t>
      </w:r>
    </w:p>
    <w:p w:rsidR="006649DC" w:rsidRPr="00826877" w:rsidRDefault="006649DC" w:rsidP="002955FD">
      <w:pPr>
        <w:pStyle w:val="TOCHeading"/>
        <w:spacing w:before="0" w:line="240" w:lineRule="auto"/>
        <w:jc w:val="both"/>
        <w:rPr>
          <w:rFonts w:ascii="Bookman Old Style" w:hAnsi="Bookman Old Style"/>
          <w:sz w:val="22"/>
          <w:szCs w:val="22"/>
        </w:rPr>
      </w:pPr>
      <w:r w:rsidRPr="00826877">
        <w:rPr>
          <w:rFonts w:ascii="Bookman Old Style" w:hAnsi="Bookman Old Style"/>
          <w:sz w:val="22"/>
          <w:szCs w:val="22"/>
        </w:rPr>
        <w:t>Sommario</w:t>
      </w:r>
    </w:p>
    <w:p w:rsidR="006649DC" w:rsidRPr="006B1F8F" w:rsidRDefault="006649DC">
      <w:pPr>
        <w:pStyle w:val="TOC1"/>
        <w:tabs>
          <w:tab w:val="right" w:leader="dot" w:pos="9628"/>
        </w:tabs>
        <w:rPr>
          <w:rFonts w:ascii="Bookman Old Style" w:hAnsi="Bookman Old Style"/>
          <w:noProof/>
          <w:color w:val="auto"/>
          <w:sz w:val="22"/>
          <w:szCs w:val="22"/>
        </w:rPr>
      </w:pPr>
      <w:r w:rsidRPr="006B1F8F">
        <w:rPr>
          <w:rFonts w:ascii="Bookman Old Style" w:hAnsi="Bookman Old Style"/>
          <w:sz w:val="22"/>
          <w:szCs w:val="22"/>
        </w:rPr>
        <w:fldChar w:fldCharType="begin"/>
      </w:r>
      <w:r w:rsidRPr="006B1F8F">
        <w:rPr>
          <w:rFonts w:ascii="Bookman Old Style" w:hAnsi="Bookman Old Style"/>
          <w:sz w:val="22"/>
          <w:szCs w:val="22"/>
        </w:rPr>
        <w:instrText xml:space="preserve"> TOC \o "1-3" \h \z \u </w:instrText>
      </w:r>
      <w:r w:rsidRPr="006B1F8F">
        <w:rPr>
          <w:rFonts w:ascii="Bookman Old Style" w:hAnsi="Bookman Old Style"/>
          <w:sz w:val="22"/>
          <w:szCs w:val="22"/>
        </w:rPr>
        <w:fldChar w:fldCharType="separate"/>
      </w:r>
      <w:hyperlink w:anchor="_Toc506559941" w:history="1">
        <w:r w:rsidRPr="006B1F8F">
          <w:rPr>
            <w:rStyle w:val="Hyperlink"/>
            <w:rFonts w:ascii="Bookman Old Style" w:hAnsi="Bookman Old Style"/>
            <w:noProof/>
            <w:sz w:val="22"/>
            <w:szCs w:val="22"/>
          </w:rPr>
          <w:t>INDICI</w:t>
        </w:r>
        <w:r w:rsidRPr="006B1F8F">
          <w:rPr>
            <w:rFonts w:ascii="Bookman Old Style" w:hAnsi="Bookman Old Style"/>
            <w:noProof/>
            <w:webHidden/>
            <w:sz w:val="22"/>
            <w:szCs w:val="22"/>
          </w:rPr>
          <w:tab/>
        </w:r>
        <w:r w:rsidRPr="006B1F8F">
          <w:rPr>
            <w:rFonts w:ascii="Bookman Old Style" w:hAnsi="Bookman Old Style"/>
            <w:noProof/>
            <w:webHidden/>
            <w:sz w:val="22"/>
            <w:szCs w:val="22"/>
          </w:rPr>
          <w:fldChar w:fldCharType="begin"/>
        </w:r>
        <w:r w:rsidRPr="006B1F8F">
          <w:rPr>
            <w:rFonts w:ascii="Bookman Old Style" w:hAnsi="Bookman Old Style"/>
            <w:noProof/>
            <w:webHidden/>
            <w:sz w:val="22"/>
            <w:szCs w:val="22"/>
          </w:rPr>
          <w:instrText xml:space="preserve"> PAGEREF _Toc506559941 \h </w:instrText>
        </w:r>
        <w:r w:rsidRPr="006B1F8F">
          <w:rPr>
            <w:rFonts w:ascii="Bookman Old Style" w:hAnsi="Bookman Old Style"/>
            <w:noProof/>
            <w:webHidden/>
            <w:sz w:val="22"/>
            <w:szCs w:val="22"/>
          </w:rPr>
        </w:r>
        <w:r w:rsidRPr="006B1F8F">
          <w:rPr>
            <w:rFonts w:ascii="Bookman Old Style" w:hAnsi="Bookman Old Style"/>
            <w:noProof/>
            <w:webHidden/>
            <w:sz w:val="22"/>
            <w:szCs w:val="22"/>
          </w:rPr>
          <w:fldChar w:fldCharType="separate"/>
        </w:r>
        <w:r w:rsidRPr="006B1F8F">
          <w:rPr>
            <w:rFonts w:ascii="Bookman Old Style" w:hAnsi="Bookman Old Style"/>
            <w:noProof/>
            <w:webHidden/>
            <w:sz w:val="22"/>
            <w:szCs w:val="22"/>
          </w:rPr>
          <w:t>2</w:t>
        </w:r>
        <w:r w:rsidRPr="006B1F8F">
          <w:rPr>
            <w:rFonts w:ascii="Bookman Old Style" w:hAnsi="Bookman Old Style"/>
            <w:noProof/>
            <w:webHidden/>
            <w:sz w:val="22"/>
            <w:szCs w:val="22"/>
          </w:rPr>
          <w:fldChar w:fldCharType="end"/>
        </w:r>
      </w:hyperlink>
    </w:p>
    <w:p w:rsidR="006649DC" w:rsidRPr="006B1F8F" w:rsidRDefault="006649DC">
      <w:pPr>
        <w:pStyle w:val="TOC2"/>
        <w:rPr>
          <w:rFonts w:ascii="Bookman Old Style" w:hAnsi="Bookman Old Style"/>
          <w:color w:val="auto"/>
          <w:sz w:val="22"/>
          <w:szCs w:val="22"/>
        </w:rPr>
      </w:pPr>
      <w:hyperlink w:anchor="_Toc506559942" w:history="1">
        <w:r w:rsidRPr="006B1F8F">
          <w:rPr>
            <w:rStyle w:val="Hyperlink"/>
            <w:rFonts w:ascii="Bookman Old Style" w:hAnsi="Bookman Old Style"/>
            <w:sz w:val="22"/>
            <w:szCs w:val="22"/>
          </w:rPr>
          <w:t>Indice dei prezzi per le rivalutazioni monetarie</w:t>
        </w:r>
        <w:r w:rsidRPr="006B1F8F">
          <w:rPr>
            <w:rFonts w:ascii="Bookman Old Style" w:hAnsi="Bookman Old Style"/>
            <w:webHidden/>
            <w:sz w:val="22"/>
            <w:szCs w:val="22"/>
          </w:rPr>
          <w:tab/>
        </w:r>
        <w:r w:rsidRPr="006B1F8F">
          <w:rPr>
            <w:rFonts w:ascii="Bookman Old Style" w:hAnsi="Bookman Old Style"/>
            <w:webHidden/>
            <w:sz w:val="22"/>
            <w:szCs w:val="22"/>
          </w:rPr>
          <w:fldChar w:fldCharType="begin"/>
        </w:r>
        <w:r w:rsidRPr="006B1F8F">
          <w:rPr>
            <w:rFonts w:ascii="Bookman Old Style" w:hAnsi="Bookman Old Style"/>
            <w:webHidden/>
            <w:sz w:val="22"/>
            <w:szCs w:val="22"/>
          </w:rPr>
          <w:instrText xml:space="preserve"> PAGEREF _Toc506559942 \h </w:instrText>
        </w:r>
        <w:r w:rsidRPr="006B1F8F">
          <w:rPr>
            <w:rFonts w:ascii="Bookman Old Style" w:hAnsi="Bookman Old Style"/>
            <w:webHidden/>
            <w:sz w:val="22"/>
            <w:szCs w:val="22"/>
          </w:rPr>
        </w:r>
        <w:r w:rsidRPr="006B1F8F">
          <w:rPr>
            <w:rFonts w:ascii="Bookman Old Style" w:hAnsi="Bookman Old Style"/>
            <w:webHidden/>
            <w:sz w:val="22"/>
            <w:szCs w:val="22"/>
          </w:rPr>
          <w:fldChar w:fldCharType="separate"/>
        </w:r>
        <w:r w:rsidRPr="006B1F8F">
          <w:rPr>
            <w:rFonts w:ascii="Bookman Old Style" w:hAnsi="Bookman Old Style"/>
            <w:webHidden/>
            <w:sz w:val="22"/>
            <w:szCs w:val="22"/>
          </w:rPr>
          <w:t>2</w:t>
        </w:r>
        <w:r w:rsidRPr="006B1F8F">
          <w:rPr>
            <w:rFonts w:ascii="Bookman Old Style" w:hAnsi="Bookman Old Style"/>
            <w:webHidden/>
            <w:sz w:val="22"/>
            <w:szCs w:val="22"/>
          </w:rPr>
          <w:fldChar w:fldCharType="end"/>
        </w:r>
      </w:hyperlink>
    </w:p>
    <w:p w:rsidR="006649DC" w:rsidRPr="006B1F8F" w:rsidRDefault="006649DC">
      <w:pPr>
        <w:pStyle w:val="TOC2"/>
        <w:rPr>
          <w:rFonts w:ascii="Bookman Old Style" w:hAnsi="Bookman Old Style"/>
          <w:color w:val="auto"/>
          <w:sz w:val="22"/>
          <w:szCs w:val="22"/>
        </w:rPr>
      </w:pPr>
      <w:hyperlink w:anchor="_Toc506559943" w:history="1">
        <w:r w:rsidRPr="006B1F8F">
          <w:rPr>
            <w:rStyle w:val="Hyperlink"/>
            <w:rFonts w:ascii="Bookman Old Style" w:hAnsi="Bookman Old Style"/>
            <w:sz w:val="22"/>
            <w:szCs w:val="22"/>
          </w:rPr>
          <w:t>Indice dI RIVALUTAZIONE DEL T.F.R.</w:t>
        </w:r>
        <w:r w:rsidRPr="006B1F8F">
          <w:rPr>
            <w:rFonts w:ascii="Bookman Old Style" w:hAnsi="Bookman Old Style"/>
            <w:webHidden/>
            <w:sz w:val="22"/>
            <w:szCs w:val="22"/>
          </w:rPr>
          <w:tab/>
        </w:r>
        <w:r w:rsidRPr="006B1F8F">
          <w:rPr>
            <w:rFonts w:ascii="Bookman Old Style" w:hAnsi="Bookman Old Style"/>
            <w:webHidden/>
            <w:sz w:val="22"/>
            <w:szCs w:val="22"/>
          </w:rPr>
          <w:fldChar w:fldCharType="begin"/>
        </w:r>
        <w:r w:rsidRPr="006B1F8F">
          <w:rPr>
            <w:rFonts w:ascii="Bookman Old Style" w:hAnsi="Bookman Old Style"/>
            <w:webHidden/>
            <w:sz w:val="22"/>
            <w:szCs w:val="22"/>
          </w:rPr>
          <w:instrText xml:space="preserve"> PAGEREF _Toc506559943 \h </w:instrText>
        </w:r>
        <w:r w:rsidRPr="006B1F8F">
          <w:rPr>
            <w:rFonts w:ascii="Bookman Old Style" w:hAnsi="Bookman Old Style"/>
            <w:webHidden/>
            <w:sz w:val="22"/>
            <w:szCs w:val="22"/>
          </w:rPr>
        </w:r>
        <w:r w:rsidRPr="006B1F8F">
          <w:rPr>
            <w:rFonts w:ascii="Bookman Old Style" w:hAnsi="Bookman Old Style"/>
            <w:webHidden/>
            <w:sz w:val="22"/>
            <w:szCs w:val="22"/>
          </w:rPr>
          <w:fldChar w:fldCharType="separate"/>
        </w:r>
        <w:r w:rsidRPr="006B1F8F">
          <w:rPr>
            <w:rFonts w:ascii="Bookman Old Style" w:hAnsi="Bookman Old Style"/>
            <w:webHidden/>
            <w:sz w:val="22"/>
            <w:szCs w:val="22"/>
          </w:rPr>
          <w:t>4</w:t>
        </w:r>
        <w:r w:rsidRPr="006B1F8F">
          <w:rPr>
            <w:rFonts w:ascii="Bookman Old Style" w:hAnsi="Bookman Old Style"/>
            <w:webHidden/>
            <w:sz w:val="22"/>
            <w:szCs w:val="22"/>
          </w:rPr>
          <w:fldChar w:fldCharType="end"/>
        </w:r>
      </w:hyperlink>
    </w:p>
    <w:p w:rsidR="006649DC" w:rsidRPr="006B1F8F" w:rsidRDefault="006649DC">
      <w:pPr>
        <w:pStyle w:val="TOC2"/>
        <w:rPr>
          <w:rFonts w:ascii="Bookman Old Style" w:hAnsi="Bookman Old Style"/>
          <w:color w:val="auto"/>
          <w:sz w:val="22"/>
          <w:szCs w:val="22"/>
        </w:rPr>
      </w:pPr>
      <w:hyperlink w:anchor="_Toc506559944" w:history="1">
        <w:r w:rsidRPr="006B1F8F">
          <w:rPr>
            <w:rStyle w:val="Hyperlink"/>
            <w:rFonts w:ascii="Bookman Old Style" w:hAnsi="Bookman Old Style"/>
            <w:sz w:val="22"/>
            <w:szCs w:val="22"/>
          </w:rPr>
          <w:t>INTERESSI LEGALI</w:t>
        </w:r>
        <w:r w:rsidRPr="006B1F8F">
          <w:rPr>
            <w:rFonts w:ascii="Bookman Old Style" w:hAnsi="Bookman Old Style"/>
            <w:webHidden/>
            <w:sz w:val="22"/>
            <w:szCs w:val="22"/>
          </w:rPr>
          <w:tab/>
        </w:r>
        <w:r w:rsidRPr="006B1F8F">
          <w:rPr>
            <w:rFonts w:ascii="Bookman Old Style" w:hAnsi="Bookman Old Style"/>
            <w:webHidden/>
            <w:sz w:val="22"/>
            <w:szCs w:val="22"/>
          </w:rPr>
          <w:fldChar w:fldCharType="begin"/>
        </w:r>
        <w:r w:rsidRPr="006B1F8F">
          <w:rPr>
            <w:rFonts w:ascii="Bookman Old Style" w:hAnsi="Bookman Old Style"/>
            <w:webHidden/>
            <w:sz w:val="22"/>
            <w:szCs w:val="22"/>
          </w:rPr>
          <w:instrText xml:space="preserve"> PAGEREF _Toc506559944 \h </w:instrText>
        </w:r>
        <w:r w:rsidRPr="006B1F8F">
          <w:rPr>
            <w:rFonts w:ascii="Bookman Old Style" w:hAnsi="Bookman Old Style"/>
            <w:webHidden/>
            <w:sz w:val="22"/>
            <w:szCs w:val="22"/>
          </w:rPr>
        </w:r>
        <w:r w:rsidRPr="006B1F8F">
          <w:rPr>
            <w:rFonts w:ascii="Bookman Old Style" w:hAnsi="Bookman Old Style"/>
            <w:webHidden/>
            <w:sz w:val="22"/>
            <w:szCs w:val="22"/>
          </w:rPr>
          <w:fldChar w:fldCharType="separate"/>
        </w:r>
        <w:r w:rsidRPr="006B1F8F">
          <w:rPr>
            <w:rFonts w:ascii="Bookman Old Style" w:hAnsi="Bookman Old Style"/>
            <w:webHidden/>
            <w:sz w:val="22"/>
            <w:szCs w:val="22"/>
          </w:rPr>
          <w:t>6</w:t>
        </w:r>
        <w:r w:rsidRPr="006B1F8F">
          <w:rPr>
            <w:rFonts w:ascii="Bookman Old Style" w:hAnsi="Bookman Old Style"/>
            <w:webHidden/>
            <w:sz w:val="22"/>
            <w:szCs w:val="22"/>
          </w:rPr>
          <w:fldChar w:fldCharType="end"/>
        </w:r>
      </w:hyperlink>
    </w:p>
    <w:p w:rsidR="006649DC" w:rsidRPr="006B1F8F" w:rsidRDefault="006649DC">
      <w:pPr>
        <w:pStyle w:val="TOC2"/>
        <w:rPr>
          <w:rFonts w:ascii="Bookman Old Style" w:hAnsi="Bookman Old Style"/>
          <w:color w:val="auto"/>
          <w:sz w:val="22"/>
          <w:szCs w:val="22"/>
        </w:rPr>
      </w:pPr>
      <w:hyperlink w:anchor="_Toc506559945" w:history="1">
        <w:r w:rsidRPr="006B1F8F">
          <w:rPr>
            <w:rStyle w:val="Hyperlink"/>
            <w:rFonts w:ascii="Bookman Old Style" w:hAnsi="Bookman Old Style"/>
            <w:sz w:val="22"/>
            <w:szCs w:val="22"/>
          </w:rPr>
          <w:t>INTERESSI DI MORA</w:t>
        </w:r>
        <w:r w:rsidRPr="006B1F8F">
          <w:rPr>
            <w:rFonts w:ascii="Bookman Old Style" w:hAnsi="Bookman Old Style"/>
            <w:webHidden/>
            <w:sz w:val="22"/>
            <w:szCs w:val="22"/>
          </w:rPr>
          <w:tab/>
        </w:r>
        <w:r w:rsidRPr="006B1F8F">
          <w:rPr>
            <w:rFonts w:ascii="Bookman Old Style" w:hAnsi="Bookman Old Style"/>
            <w:webHidden/>
            <w:sz w:val="22"/>
            <w:szCs w:val="22"/>
          </w:rPr>
          <w:fldChar w:fldCharType="begin"/>
        </w:r>
        <w:r w:rsidRPr="006B1F8F">
          <w:rPr>
            <w:rFonts w:ascii="Bookman Old Style" w:hAnsi="Bookman Old Style"/>
            <w:webHidden/>
            <w:sz w:val="22"/>
            <w:szCs w:val="22"/>
          </w:rPr>
          <w:instrText xml:space="preserve"> PAGEREF _Toc506559945 \h </w:instrText>
        </w:r>
        <w:r w:rsidRPr="006B1F8F">
          <w:rPr>
            <w:rFonts w:ascii="Bookman Old Style" w:hAnsi="Bookman Old Style"/>
            <w:webHidden/>
            <w:sz w:val="22"/>
            <w:szCs w:val="22"/>
          </w:rPr>
        </w:r>
        <w:r w:rsidRPr="006B1F8F">
          <w:rPr>
            <w:rFonts w:ascii="Bookman Old Style" w:hAnsi="Bookman Old Style"/>
            <w:webHidden/>
            <w:sz w:val="22"/>
            <w:szCs w:val="22"/>
          </w:rPr>
          <w:fldChar w:fldCharType="separate"/>
        </w:r>
        <w:r w:rsidRPr="006B1F8F">
          <w:rPr>
            <w:rFonts w:ascii="Bookman Old Style" w:hAnsi="Bookman Old Style"/>
            <w:webHidden/>
            <w:sz w:val="22"/>
            <w:szCs w:val="22"/>
          </w:rPr>
          <w:t>8</w:t>
        </w:r>
        <w:r w:rsidRPr="006B1F8F">
          <w:rPr>
            <w:rFonts w:ascii="Bookman Old Style" w:hAnsi="Bookman Old Style"/>
            <w:webHidden/>
            <w:sz w:val="22"/>
            <w:szCs w:val="22"/>
          </w:rPr>
          <w:fldChar w:fldCharType="end"/>
        </w:r>
      </w:hyperlink>
    </w:p>
    <w:p w:rsidR="006649DC" w:rsidRPr="006B1F8F" w:rsidRDefault="006649DC">
      <w:pPr>
        <w:pStyle w:val="TOC2"/>
        <w:rPr>
          <w:rFonts w:ascii="Bookman Old Style" w:hAnsi="Bookman Old Style"/>
          <w:color w:val="auto"/>
          <w:sz w:val="22"/>
          <w:szCs w:val="22"/>
        </w:rPr>
      </w:pPr>
      <w:hyperlink w:anchor="_Toc506559946" w:history="1">
        <w:r w:rsidRPr="006B1F8F">
          <w:rPr>
            <w:rStyle w:val="Hyperlink"/>
            <w:rFonts w:ascii="Bookman Old Style" w:hAnsi="Bookman Old Style"/>
            <w:sz w:val="22"/>
            <w:szCs w:val="22"/>
          </w:rPr>
          <w:t>cambi delle valute estere per il mese di DICEMBRE</w:t>
        </w:r>
        <w:r w:rsidRPr="006B1F8F">
          <w:rPr>
            <w:rFonts w:ascii="Bookman Old Style" w:hAnsi="Bookman Old Style"/>
            <w:webHidden/>
            <w:sz w:val="22"/>
            <w:szCs w:val="22"/>
          </w:rPr>
          <w:tab/>
        </w:r>
        <w:r w:rsidRPr="006B1F8F">
          <w:rPr>
            <w:rFonts w:ascii="Bookman Old Style" w:hAnsi="Bookman Old Style"/>
            <w:webHidden/>
            <w:sz w:val="22"/>
            <w:szCs w:val="22"/>
          </w:rPr>
          <w:fldChar w:fldCharType="begin"/>
        </w:r>
        <w:r w:rsidRPr="006B1F8F">
          <w:rPr>
            <w:rFonts w:ascii="Bookman Old Style" w:hAnsi="Bookman Old Style"/>
            <w:webHidden/>
            <w:sz w:val="22"/>
            <w:szCs w:val="22"/>
          </w:rPr>
          <w:instrText xml:space="preserve"> PAGEREF _Toc506559946 \h </w:instrText>
        </w:r>
        <w:r w:rsidRPr="006B1F8F">
          <w:rPr>
            <w:rFonts w:ascii="Bookman Old Style" w:hAnsi="Bookman Old Style"/>
            <w:webHidden/>
            <w:sz w:val="22"/>
            <w:szCs w:val="22"/>
          </w:rPr>
        </w:r>
        <w:r w:rsidRPr="006B1F8F">
          <w:rPr>
            <w:rFonts w:ascii="Bookman Old Style" w:hAnsi="Bookman Old Style"/>
            <w:webHidden/>
            <w:sz w:val="22"/>
            <w:szCs w:val="22"/>
          </w:rPr>
          <w:fldChar w:fldCharType="separate"/>
        </w:r>
        <w:r w:rsidRPr="006B1F8F">
          <w:rPr>
            <w:rFonts w:ascii="Bookman Old Style" w:hAnsi="Bookman Old Style"/>
            <w:webHidden/>
            <w:sz w:val="22"/>
            <w:szCs w:val="22"/>
          </w:rPr>
          <w:t>10</w:t>
        </w:r>
        <w:r w:rsidRPr="006B1F8F">
          <w:rPr>
            <w:rFonts w:ascii="Bookman Old Style" w:hAnsi="Bookman Old Style"/>
            <w:webHidden/>
            <w:sz w:val="22"/>
            <w:szCs w:val="22"/>
          </w:rPr>
          <w:fldChar w:fldCharType="end"/>
        </w:r>
      </w:hyperlink>
    </w:p>
    <w:p w:rsidR="006649DC" w:rsidRPr="006B1F8F" w:rsidRDefault="006649DC">
      <w:pPr>
        <w:pStyle w:val="TOC1"/>
        <w:tabs>
          <w:tab w:val="right" w:leader="dot" w:pos="9628"/>
        </w:tabs>
        <w:rPr>
          <w:rFonts w:ascii="Bookman Old Style" w:hAnsi="Bookman Old Style"/>
          <w:noProof/>
          <w:color w:val="auto"/>
          <w:sz w:val="22"/>
          <w:szCs w:val="22"/>
        </w:rPr>
      </w:pPr>
      <w:hyperlink w:anchor="_Toc506559947" w:history="1">
        <w:r w:rsidRPr="006B1F8F">
          <w:rPr>
            <w:rStyle w:val="Hyperlink"/>
            <w:rFonts w:ascii="Bookman Old Style" w:hAnsi="Bookman Old Style"/>
            <w:noProof/>
            <w:sz w:val="22"/>
            <w:szCs w:val="22"/>
          </w:rPr>
          <w:t>SCADENZARIO</w:t>
        </w:r>
        <w:r w:rsidRPr="006B1F8F">
          <w:rPr>
            <w:rFonts w:ascii="Bookman Old Style" w:hAnsi="Bookman Old Style"/>
            <w:noProof/>
            <w:webHidden/>
            <w:sz w:val="22"/>
            <w:szCs w:val="22"/>
          </w:rPr>
          <w:tab/>
        </w:r>
        <w:r w:rsidRPr="006B1F8F">
          <w:rPr>
            <w:rFonts w:ascii="Bookman Old Style" w:hAnsi="Bookman Old Style"/>
            <w:noProof/>
            <w:webHidden/>
            <w:sz w:val="22"/>
            <w:szCs w:val="22"/>
          </w:rPr>
          <w:fldChar w:fldCharType="begin"/>
        </w:r>
        <w:r w:rsidRPr="006B1F8F">
          <w:rPr>
            <w:rFonts w:ascii="Bookman Old Style" w:hAnsi="Bookman Old Style"/>
            <w:noProof/>
            <w:webHidden/>
            <w:sz w:val="22"/>
            <w:szCs w:val="22"/>
          </w:rPr>
          <w:instrText xml:space="preserve"> PAGEREF _Toc506559947 \h </w:instrText>
        </w:r>
        <w:r w:rsidRPr="006B1F8F">
          <w:rPr>
            <w:rFonts w:ascii="Bookman Old Style" w:hAnsi="Bookman Old Style"/>
            <w:noProof/>
            <w:webHidden/>
            <w:sz w:val="22"/>
            <w:szCs w:val="22"/>
          </w:rPr>
        </w:r>
        <w:r w:rsidRPr="006B1F8F">
          <w:rPr>
            <w:rFonts w:ascii="Bookman Old Style" w:hAnsi="Bookman Old Style"/>
            <w:noProof/>
            <w:webHidden/>
            <w:sz w:val="22"/>
            <w:szCs w:val="22"/>
          </w:rPr>
          <w:fldChar w:fldCharType="separate"/>
        </w:r>
        <w:r w:rsidRPr="006B1F8F">
          <w:rPr>
            <w:rFonts w:ascii="Bookman Old Style" w:hAnsi="Bookman Old Style"/>
            <w:noProof/>
            <w:webHidden/>
            <w:sz w:val="22"/>
            <w:szCs w:val="22"/>
          </w:rPr>
          <w:t>11</w:t>
        </w:r>
        <w:r w:rsidRPr="006B1F8F">
          <w:rPr>
            <w:rFonts w:ascii="Bookman Old Style" w:hAnsi="Bookman Old Style"/>
            <w:noProof/>
            <w:webHidden/>
            <w:sz w:val="22"/>
            <w:szCs w:val="22"/>
          </w:rPr>
          <w:fldChar w:fldCharType="end"/>
        </w:r>
      </w:hyperlink>
    </w:p>
    <w:p w:rsidR="006649DC" w:rsidRPr="006B1F8F" w:rsidRDefault="006649DC">
      <w:pPr>
        <w:pStyle w:val="TOC2"/>
        <w:rPr>
          <w:rFonts w:ascii="Bookman Old Style" w:hAnsi="Bookman Old Style"/>
          <w:color w:val="auto"/>
          <w:sz w:val="22"/>
          <w:szCs w:val="22"/>
        </w:rPr>
      </w:pPr>
      <w:hyperlink w:anchor="_Toc506559948" w:history="1">
        <w:r w:rsidRPr="006B1F8F">
          <w:rPr>
            <w:rStyle w:val="Hyperlink"/>
            <w:rFonts w:ascii="Bookman Old Style" w:hAnsi="Bookman Old Style"/>
            <w:sz w:val="22"/>
            <w:szCs w:val="22"/>
          </w:rPr>
          <w:t>FEBBRAIO 2018</w:t>
        </w:r>
        <w:r w:rsidRPr="006B1F8F">
          <w:rPr>
            <w:rFonts w:ascii="Bookman Old Style" w:hAnsi="Bookman Old Style"/>
            <w:webHidden/>
            <w:sz w:val="22"/>
            <w:szCs w:val="22"/>
          </w:rPr>
          <w:tab/>
        </w:r>
        <w:r w:rsidRPr="006B1F8F">
          <w:rPr>
            <w:rFonts w:ascii="Bookman Old Style" w:hAnsi="Bookman Old Style"/>
            <w:webHidden/>
            <w:sz w:val="22"/>
            <w:szCs w:val="22"/>
          </w:rPr>
          <w:fldChar w:fldCharType="begin"/>
        </w:r>
        <w:r w:rsidRPr="006B1F8F">
          <w:rPr>
            <w:rFonts w:ascii="Bookman Old Style" w:hAnsi="Bookman Old Style"/>
            <w:webHidden/>
            <w:sz w:val="22"/>
            <w:szCs w:val="22"/>
          </w:rPr>
          <w:instrText xml:space="preserve"> PAGEREF _Toc506559948 \h </w:instrText>
        </w:r>
        <w:r w:rsidRPr="006B1F8F">
          <w:rPr>
            <w:rFonts w:ascii="Bookman Old Style" w:hAnsi="Bookman Old Style"/>
            <w:webHidden/>
            <w:sz w:val="22"/>
            <w:szCs w:val="22"/>
          </w:rPr>
        </w:r>
        <w:r w:rsidRPr="006B1F8F">
          <w:rPr>
            <w:rFonts w:ascii="Bookman Old Style" w:hAnsi="Bookman Old Style"/>
            <w:webHidden/>
            <w:sz w:val="22"/>
            <w:szCs w:val="22"/>
          </w:rPr>
          <w:fldChar w:fldCharType="separate"/>
        </w:r>
        <w:r w:rsidRPr="006B1F8F">
          <w:rPr>
            <w:rFonts w:ascii="Bookman Old Style" w:hAnsi="Bookman Old Style"/>
            <w:webHidden/>
            <w:sz w:val="22"/>
            <w:szCs w:val="22"/>
          </w:rPr>
          <w:t>11</w:t>
        </w:r>
        <w:r w:rsidRPr="006B1F8F">
          <w:rPr>
            <w:rFonts w:ascii="Bookman Old Style" w:hAnsi="Bookman Old Style"/>
            <w:webHidden/>
            <w:sz w:val="22"/>
            <w:szCs w:val="22"/>
          </w:rPr>
          <w:fldChar w:fldCharType="end"/>
        </w:r>
      </w:hyperlink>
    </w:p>
    <w:p w:rsidR="006649DC" w:rsidRPr="006B1F8F" w:rsidRDefault="006649DC">
      <w:pPr>
        <w:pStyle w:val="TOC1"/>
        <w:tabs>
          <w:tab w:val="right" w:leader="dot" w:pos="9628"/>
        </w:tabs>
        <w:rPr>
          <w:rFonts w:ascii="Bookman Old Style" w:hAnsi="Bookman Old Style"/>
          <w:noProof/>
          <w:color w:val="auto"/>
          <w:sz w:val="22"/>
          <w:szCs w:val="22"/>
        </w:rPr>
      </w:pPr>
      <w:hyperlink w:anchor="_Toc506559949" w:history="1">
        <w:r w:rsidRPr="006B1F8F">
          <w:rPr>
            <w:rStyle w:val="Hyperlink"/>
            <w:rFonts w:ascii="Bookman Old Style" w:hAnsi="Bookman Old Style"/>
            <w:noProof/>
            <w:sz w:val="22"/>
            <w:szCs w:val="22"/>
          </w:rPr>
          <w:t>NOVITA’</w:t>
        </w:r>
        <w:r w:rsidRPr="006B1F8F">
          <w:rPr>
            <w:rFonts w:ascii="Bookman Old Style" w:hAnsi="Bookman Old Style"/>
            <w:noProof/>
            <w:webHidden/>
            <w:sz w:val="22"/>
            <w:szCs w:val="22"/>
          </w:rPr>
          <w:tab/>
        </w:r>
        <w:r w:rsidRPr="006B1F8F">
          <w:rPr>
            <w:rFonts w:ascii="Bookman Old Style" w:hAnsi="Bookman Old Style"/>
            <w:noProof/>
            <w:webHidden/>
            <w:sz w:val="22"/>
            <w:szCs w:val="22"/>
          </w:rPr>
          <w:fldChar w:fldCharType="begin"/>
        </w:r>
        <w:r w:rsidRPr="006B1F8F">
          <w:rPr>
            <w:rFonts w:ascii="Bookman Old Style" w:hAnsi="Bookman Old Style"/>
            <w:noProof/>
            <w:webHidden/>
            <w:sz w:val="22"/>
            <w:szCs w:val="22"/>
          </w:rPr>
          <w:instrText xml:space="preserve"> PAGEREF _Toc506559949 \h </w:instrText>
        </w:r>
        <w:r w:rsidRPr="006B1F8F">
          <w:rPr>
            <w:rFonts w:ascii="Bookman Old Style" w:hAnsi="Bookman Old Style"/>
            <w:noProof/>
            <w:webHidden/>
            <w:sz w:val="22"/>
            <w:szCs w:val="22"/>
          </w:rPr>
        </w:r>
        <w:r w:rsidRPr="006B1F8F">
          <w:rPr>
            <w:rFonts w:ascii="Bookman Old Style" w:hAnsi="Bookman Old Style"/>
            <w:noProof/>
            <w:webHidden/>
            <w:sz w:val="22"/>
            <w:szCs w:val="22"/>
          </w:rPr>
          <w:fldChar w:fldCharType="separate"/>
        </w:r>
        <w:r w:rsidRPr="006B1F8F">
          <w:rPr>
            <w:rFonts w:ascii="Bookman Old Style" w:hAnsi="Bookman Old Style"/>
            <w:noProof/>
            <w:webHidden/>
            <w:sz w:val="22"/>
            <w:szCs w:val="22"/>
          </w:rPr>
          <w:t>14</w:t>
        </w:r>
        <w:r w:rsidRPr="006B1F8F">
          <w:rPr>
            <w:rFonts w:ascii="Bookman Old Style" w:hAnsi="Bookman Old Style"/>
            <w:noProof/>
            <w:webHidden/>
            <w:sz w:val="22"/>
            <w:szCs w:val="22"/>
          </w:rPr>
          <w:fldChar w:fldCharType="end"/>
        </w:r>
      </w:hyperlink>
    </w:p>
    <w:p w:rsidR="006649DC" w:rsidRPr="006B1F8F" w:rsidRDefault="006649DC">
      <w:pPr>
        <w:pStyle w:val="TOC2"/>
        <w:rPr>
          <w:rFonts w:ascii="Bookman Old Style" w:hAnsi="Bookman Old Style"/>
          <w:color w:val="auto"/>
          <w:sz w:val="22"/>
          <w:szCs w:val="22"/>
        </w:rPr>
      </w:pPr>
      <w:hyperlink w:anchor="_Toc506559950" w:history="1">
        <w:r w:rsidRPr="006B1F8F">
          <w:rPr>
            <w:rStyle w:val="Hyperlink"/>
            <w:rFonts w:ascii="Bookman Old Style" w:hAnsi="Bookman Old Style"/>
            <w:sz w:val="22"/>
            <w:szCs w:val="22"/>
          </w:rPr>
          <w:t>NORMATIVA</w:t>
        </w:r>
        <w:r w:rsidRPr="006B1F8F">
          <w:rPr>
            <w:rFonts w:ascii="Bookman Old Style" w:hAnsi="Bookman Old Style"/>
            <w:webHidden/>
            <w:sz w:val="22"/>
            <w:szCs w:val="22"/>
          </w:rPr>
          <w:tab/>
        </w:r>
        <w:r w:rsidRPr="006B1F8F">
          <w:rPr>
            <w:rFonts w:ascii="Bookman Old Style" w:hAnsi="Bookman Old Style"/>
            <w:webHidden/>
            <w:sz w:val="22"/>
            <w:szCs w:val="22"/>
          </w:rPr>
          <w:fldChar w:fldCharType="begin"/>
        </w:r>
        <w:r w:rsidRPr="006B1F8F">
          <w:rPr>
            <w:rFonts w:ascii="Bookman Old Style" w:hAnsi="Bookman Old Style"/>
            <w:webHidden/>
            <w:sz w:val="22"/>
            <w:szCs w:val="22"/>
          </w:rPr>
          <w:instrText xml:space="preserve"> PAGEREF _Toc506559950 \h </w:instrText>
        </w:r>
        <w:r w:rsidRPr="006B1F8F">
          <w:rPr>
            <w:rFonts w:ascii="Bookman Old Style" w:hAnsi="Bookman Old Style"/>
            <w:webHidden/>
            <w:sz w:val="22"/>
            <w:szCs w:val="22"/>
          </w:rPr>
        </w:r>
        <w:r w:rsidRPr="006B1F8F">
          <w:rPr>
            <w:rFonts w:ascii="Bookman Old Style" w:hAnsi="Bookman Old Style"/>
            <w:webHidden/>
            <w:sz w:val="22"/>
            <w:szCs w:val="22"/>
          </w:rPr>
          <w:fldChar w:fldCharType="separate"/>
        </w:r>
        <w:r w:rsidRPr="006B1F8F">
          <w:rPr>
            <w:rFonts w:ascii="Bookman Old Style" w:hAnsi="Bookman Old Style"/>
            <w:webHidden/>
            <w:sz w:val="22"/>
            <w:szCs w:val="22"/>
          </w:rPr>
          <w:t>14</w:t>
        </w:r>
        <w:r w:rsidRPr="006B1F8F">
          <w:rPr>
            <w:rFonts w:ascii="Bookman Old Style" w:hAnsi="Bookman Old Style"/>
            <w:webHidden/>
            <w:sz w:val="22"/>
            <w:szCs w:val="22"/>
          </w:rPr>
          <w:fldChar w:fldCharType="end"/>
        </w:r>
      </w:hyperlink>
    </w:p>
    <w:p w:rsidR="006649DC" w:rsidRPr="006B1F8F" w:rsidRDefault="006649DC">
      <w:pPr>
        <w:pStyle w:val="TOC3"/>
        <w:tabs>
          <w:tab w:val="right" w:leader="dot" w:pos="9628"/>
        </w:tabs>
        <w:rPr>
          <w:rFonts w:ascii="Bookman Old Style" w:hAnsi="Bookman Old Style"/>
          <w:noProof/>
          <w:sz w:val="22"/>
          <w:szCs w:val="22"/>
        </w:rPr>
      </w:pPr>
      <w:hyperlink w:anchor="_Toc506559951" w:history="1">
        <w:r w:rsidRPr="006B1F8F">
          <w:rPr>
            <w:rStyle w:val="Hyperlink"/>
            <w:rFonts w:ascii="Bookman Old Style" w:hAnsi="Bookman Old Style"/>
            <w:b/>
            <w:noProof/>
            <w:sz w:val="22"/>
            <w:szCs w:val="22"/>
          </w:rPr>
          <w:t>IVA</w:t>
        </w:r>
        <w:r w:rsidRPr="006B1F8F">
          <w:rPr>
            <w:rFonts w:ascii="Bookman Old Style" w:hAnsi="Bookman Old Style"/>
            <w:noProof/>
            <w:webHidden/>
            <w:sz w:val="22"/>
            <w:szCs w:val="22"/>
          </w:rPr>
          <w:tab/>
        </w:r>
        <w:r w:rsidRPr="006B1F8F">
          <w:rPr>
            <w:rFonts w:ascii="Bookman Old Style" w:hAnsi="Bookman Old Style"/>
            <w:noProof/>
            <w:webHidden/>
            <w:sz w:val="22"/>
            <w:szCs w:val="22"/>
          </w:rPr>
          <w:fldChar w:fldCharType="begin"/>
        </w:r>
        <w:r w:rsidRPr="006B1F8F">
          <w:rPr>
            <w:rFonts w:ascii="Bookman Old Style" w:hAnsi="Bookman Old Style"/>
            <w:noProof/>
            <w:webHidden/>
            <w:sz w:val="22"/>
            <w:szCs w:val="22"/>
          </w:rPr>
          <w:instrText xml:space="preserve"> PAGEREF _Toc506559951 \h </w:instrText>
        </w:r>
        <w:r w:rsidRPr="006B1F8F">
          <w:rPr>
            <w:rFonts w:ascii="Bookman Old Style" w:hAnsi="Bookman Old Style"/>
            <w:noProof/>
            <w:webHidden/>
            <w:sz w:val="22"/>
            <w:szCs w:val="22"/>
          </w:rPr>
        </w:r>
        <w:r w:rsidRPr="006B1F8F">
          <w:rPr>
            <w:rFonts w:ascii="Bookman Old Style" w:hAnsi="Bookman Old Style"/>
            <w:noProof/>
            <w:webHidden/>
            <w:sz w:val="22"/>
            <w:szCs w:val="22"/>
          </w:rPr>
          <w:fldChar w:fldCharType="separate"/>
        </w:r>
        <w:r w:rsidRPr="006B1F8F">
          <w:rPr>
            <w:rFonts w:ascii="Bookman Old Style" w:hAnsi="Bookman Old Style"/>
            <w:noProof/>
            <w:webHidden/>
            <w:sz w:val="22"/>
            <w:szCs w:val="22"/>
          </w:rPr>
          <w:t>14</w:t>
        </w:r>
        <w:r w:rsidRPr="006B1F8F">
          <w:rPr>
            <w:rFonts w:ascii="Bookman Old Style" w:hAnsi="Bookman Old Style"/>
            <w:noProof/>
            <w:webHidden/>
            <w:sz w:val="22"/>
            <w:szCs w:val="22"/>
          </w:rPr>
          <w:fldChar w:fldCharType="end"/>
        </w:r>
      </w:hyperlink>
    </w:p>
    <w:p w:rsidR="006649DC" w:rsidRPr="006B1F8F" w:rsidRDefault="006649DC">
      <w:pPr>
        <w:pStyle w:val="TOC3"/>
        <w:tabs>
          <w:tab w:val="right" w:leader="dot" w:pos="9628"/>
        </w:tabs>
        <w:rPr>
          <w:rFonts w:ascii="Bookman Old Style" w:hAnsi="Bookman Old Style"/>
          <w:noProof/>
          <w:sz w:val="22"/>
          <w:szCs w:val="22"/>
        </w:rPr>
      </w:pPr>
      <w:hyperlink w:anchor="_Toc506559952" w:history="1">
        <w:r w:rsidRPr="006B1F8F">
          <w:rPr>
            <w:rStyle w:val="Hyperlink"/>
            <w:rFonts w:ascii="Bookman Old Style" w:hAnsi="Bookman Old Style"/>
            <w:b/>
            <w:noProof/>
            <w:sz w:val="22"/>
            <w:szCs w:val="22"/>
          </w:rPr>
          <w:t>IMPOSTE DIRETTE</w:t>
        </w:r>
        <w:r w:rsidRPr="006B1F8F">
          <w:rPr>
            <w:rFonts w:ascii="Bookman Old Style" w:hAnsi="Bookman Old Style"/>
            <w:noProof/>
            <w:webHidden/>
            <w:sz w:val="22"/>
            <w:szCs w:val="22"/>
          </w:rPr>
          <w:tab/>
        </w:r>
        <w:r w:rsidRPr="006B1F8F">
          <w:rPr>
            <w:rFonts w:ascii="Bookman Old Style" w:hAnsi="Bookman Old Style"/>
            <w:noProof/>
            <w:webHidden/>
            <w:sz w:val="22"/>
            <w:szCs w:val="22"/>
          </w:rPr>
          <w:fldChar w:fldCharType="begin"/>
        </w:r>
        <w:r w:rsidRPr="006B1F8F">
          <w:rPr>
            <w:rFonts w:ascii="Bookman Old Style" w:hAnsi="Bookman Old Style"/>
            <w:noProof/>
            <w:webHidden/>
            <w:sz w:val="22"/>
            <w:szCs w:val="22"/>
          </w:rPr>
          <w:instrText xml:space="preserve"> PAGEREF _Toc506559952 \h </w:instrText>
        </w:r>
        <w:r w:rsidRPr="006B1F8F">
          <w:rPr>
            <w:rFonts w:ascii="Bookman Old Style" w:hAnsi="Bookman Old Style"/>
            <w:noProof/>
            <w:webHidden/>
            <w:sz w:val="22"/>
            <w:szCs w:val="22"/>
          </w:rPr>
        </w:r>
        <w:r w:rsidRPr="006B1F8F">
          <w:rPr>
            <w:rFonts w:ascii="Bookman Old Style" w:hAnsi="Bookman Old Style"/>
            <w:noProof/>
            <w:webHidden/>
            <w:sz w:val="22"/>
            <w:szCs w:val="22"/>
          </w:rPr>
          <w:fldChar w:fldCharType="separate"/>
        </w:r>
        <w:r w:rsidRPr="006B1F8F">
          <w:rPr>
            <w:rFonts w:ascii="Bookman Old Style" w:hAnsi="Bookman Old Style"/>
            <w:noProof/>
            <w:webHidden/>
            <w:sz w:val="22"/>
            <w:szCs w:val="22"/>
          </w:rPr>
          <w:t>21</w:t>
        </w:r>
        <w:r w:rsidRPr="006B1F8F">
          <w:rPr>
            <w:rFonts w:ascii="Bookman Old Style" w:hAnsi="Bookman Old Style"/>
            <w:noProof/>
            <w:webHidden/>
            <w:sz w:val="22"/>
            <w:szCs w:val="22"/>
          </w:rPr>
          <w:fldChar w:fldCharType="end"/>
        </w:r>
      </w:hyperlink>
    </w:p>
    <w:p w:rsidR="006649DC" w:rsidRPr="006B1F8F" w:rsidRDefault="006649DC">
      <w:pPr>
        <w:pStyle w:val="TOC3"/>
        <w:tabs>
          <w:tab w:val="right" w:leader="dot" w:pos="9628"/>
        </w:tabs>
        <w:rPr>
          <w:rFonts w:ascii="Bookman Old Style" w:hAnsi="Bookman Old Style"/>
          <w:noProof/>
          <w:sz w:val="22"/>
          <w:szCs w:val="22"/>
        </w:rPr>
      </w:pPr>
      <w:hyperlink w:anchor="_Toc506559953" w:history="1">
        <w:r w:rsidRPr="006B1F8F">
          <w:rPr>
            <w:rStyle w:val="Hyperlink"/>
            <w:rFonts w:ascii="Bookman Old Style" w:hAnsi="Bookman Old Style"/>
            <w:b/>
            <w:noProof/>
            <w:sz w:val="22"/>
            <w:szCs w:val="22"/>
          </w:rPr>
          <w:t>ALTRE IMPOSTE INDIRETTE, IRAP e TRIBUTI LOCALI</w:t>
        </w:r>
        <w:r w:rsidRPr="006B1F8F">
          <w:rPr>
            <w:rFonts w:ascii="Bookman Old Style" w:hAnsi="Bookman Old Style"/>
            <w:noProof/>
            <w:webHidden/>
            <w:sz w:val="22"/>
            <w:szCs w:val="22"/>
          </w:rPr>
          <w:tab/>
        </w:r>
        <w:r w:rsidRPr="006B1F8F">
          <w:rPr>
            <w:rFonts w:ascii="Bookman Old Style" w:hAnsi="Bookman Old Style"/>
            <w:noProof/>
            <w:webHidden/>
            <w:sz w:val="22"/>
            <w:szCs w:val="22"/>
          </w:rPr>
          <w:fldChar w:fldCharType="begin"/>
        </w:r>
        <w:r w:rsidRPr="006B1F8F">
          <w:rPr>
            <w:rFonts w:ascii="Bookman Old Style" w:hAnsi="Bookman Old Style"/>
            <w:noProof/>
            <w:webHidden/>
            <w:sz w:val="22"/>
            <w:szCs w:val="22"/>
          </w:rPr>
          <w:instrText xml:space="preserve"> PAGEREF _Toc506559953 \h </w:instrText>
        </w:r>
        <w:r w:rsidRPr="006B1F8F">
          <w:rPr>
            <w:rFonts w:ascii="Bookman Old Style" w:hAnsi="Bookman Old Style"/>
            <w:noProof/>
            <w:webHidden/>
            <w:sz w:val="22"/>
            <w:szCs w:val="22"/>
          </w:rPr>
        </w:r>
        <w:r w:rsidRPr="006B1F8F">
          <w:rPr>
            <w:rFonts w:ascii="Bookman Old Style" w:hAnsi="Bookman Old Style"/>
            <w:noProof/>
            <w:webHidden/>
            <w:sz w:val="22"/>
            <w:szCs w:val="22"/>
          </w:rPr>
          <w:fldChar w:fldCharType="separate"/>
        </w:r>
        <w:r w:rsidRPr="006B1F8F">
          <w:rPr>
            <w:rFonts w:ascii="Bookman Old Style" w:hAnsi="Bookman Old Style"/>
            <w:noProof/>
            <w:webHidden/>
            <w:sz w:val="22"/>
            <w:szCs w:val="22"/>
          </w:rPr>
          <w:t>26</w:t>
        </w:r>
        <w:r w:rsidRPr="006B1F8F">
          <w:rPr>
            <w:rFonts w:ascii="Bookman Old Style" w:hAnsi="Bookman Old Style"/>
            <w:noProof/>
            <w:webHidden/>
            <w:sz w:val="22"/>
            <w:szCs w:val="22"/>
          </w:rPr>
          <w:fldChar w:fldCharType="end"/>
        </w:r>
      </w:hyperlink>
    </w:p>
    <w:p w:rsidR="006649DC" w:rsidRPr="006B1F8F" w:rsidRDefault="006649DC">
      <w:pPr>
        <w:pStyle w:val="TOC3"/>
        <w:tabs>
          <w:tab w:val="right" w:leader="dot" w:pos="9628"/>
        </w:tabs>
        <w:rPr>
          <w:rFonts w:ascii="Bookman Old Style" w:hAnsi="Bookman Old Style"/>
          <w:noProof/>
          <w:sz w:val="22"/>
          <w:szCs w:val="22"/>
        </w:rPr>
      </w:pPr>
      <w:hyperlink w:anchor="_Toc506559954" w:history="1">
        <w:r w:rsidRPr="006B1F8F">
          <w:rPr>
            <w:rStyle w:val="Hyperlink"/>
            <w:rFonts w:ascii="Bookman Old Style" w:hAnsi="Bookman Old Style"/>
            <w:b/>
            <w:noProof/>
            <w:sz w:val="22"/>
            <w:szCs w:val="22"/>
          </w:rPr>
          <w:t>ACCERTAMENTO / RISCOSSIONE / CONTENZIOSO</w:t>
        </w:r>
        <w:r w:rsidRPr="006B1F8F">
          <w:rPr>
            <w:rFonts w:ascii="Bookman Old Style" w:hAnsi="Bookman Old Style"/>
            <w:noProof/>
            <w:webHidden/>
            <w:sz w:val="22"/>
            <w:szCs w:val="22"/>
          </w:rPr>
          <w:tab/>
        </w:r>
        <w:r w:rsidRPr="006B1F8F">
          <w:rPr>
            <w:rFonts w:ascii="Bookman Old Style" w:hAnsi="Bookman Old Style"/>
            <w:noProof/>
            <w:webHidden/>
            <w:sz w:val="22"/>
            <w:szCs w:val="22"/>
          </w:rPr>
          <w:fldChar w:fldCharType="begin"/>
        </w:r>
        <w:r w:rsidRPr="006B1F8F">
          <w:rPr>
            <w:rFonts w:ascii="Bookman Old Style" w:hAnsi="Bookman Old Style"/>
            <w:noProof/>
            <w:webHidden/>
            <w:sz w:val="22"/>
            <w:szCs w:val="22"/>
          </w:rPr>
          <w:instrText xml:space="preserve"> PAGEREF _Toc506559954 \h </w:instrText>
        </w:r>
        <w:r w:rsidRPr="006B1F8F">
          <w:rPr>
            <w:rFonts w:ascii="Bookman Old Style" w:hAnsi="Bookman Old Style"/>
            <w:noProof/>
            <w:webHidden/>
            <w:sz w:val="22"/>
            <w:szCs w:val="22"/>
          </w:rPr>
        </w:r>
        <w:r w:rsidRPr="006B1F8F">
          <w:rPr>
            <w:rFonts w:ascii="Bookman Old Style" w:hAnsi="Bookman Old Style"/>
            <w:noProof/>
            <w:webHidden/>
            <w:sz w:val="22"/>
            <w:szCs w:val="22"/>
          </w:rPr>
          <w:fldChar w:fldCharType="separate"/>
        </w:r>
        <w:r w:rsidRPr="006B1F8F">
          <w:rPr>
            <w:rFonts w:ascii="Bookman Old Style" w:hAnsi="Bookman Old Style"/>
            <w:noProof/>
            <w:webHidden/>
            <w:sz w:val="22"/>
            <w:szCs w:val="22"/>
          </w:rPr>
          <w:t>27</w:t>
        </w:r>
        <w:r w:rsidRPr="006B1F8F">
          <w:rPr>
            <w:rFonts w:ascii="Bookman Old Style" w:hAnsi="Bookman Old Style"/>
            <w:noProof/>
            <w:webHidden/>
            <w:sz w:val="22"/>
            <w:szCs w:val="22"/>
          </w:rPr>
          <w:fldChar w:fldCharType="end"/>
        </w:r>
      </w:hyperlink>
    </w:p>
    <w:p w:rsidR="006649DC" w:rsidRPr="006B1F8F" w:rsidRDefault="006649DC">
      <w:pPr>
        <w:pStyle w:val="TOC3"/>
        <w:tabs>
          <w:tab w:val="right" w:leader="dot" w:pos="9628"/>
        </w:tabs>
        <w:rPr>
          <w:rFonts w:ascii="Bookman Old Style" w:hAnsi="Bookman Old Style"/>
          <w:noProof/>
          <w:sz w:val="22"/>
          <w:szCs w:val="22"/>
        </w:rPr>
      </w:pPr>
      <w:hyperlink w:anchor="_Toc506559955" w:history="1">
        <w:r w:rsidRPr="006B1F8F">
          <w:rPr>
            <w:rStyle w:val="Hyperlink"/>
            <w:rFonts w:ascii="Bookman Old Style" w:hAnsi="Bookman Old Style"/>
            <w:b/>
            <w:noProof/>
            <w:sz w:val="22"/>
            <w:szCs w:val="22"/>
          </w:rPr>
          <w:t>VARIE</w:t>
        </w:r>
        <w:r w:rsidRPr="006B1F8F">
          <w:rPr>
            <w:rFonts w:ascii="Bookman Old Style" w:hAnsi="Bookman Old Style"/>
            <w:noProof/>
            <w:webHidden/>
            <w:sz w:val="22"/>
            <w:szCs w:val="22"/>
          </w:rPr>
          <w:tab/>
        </w:r>
        <w:r w:rsidRPr="006B1F8F">
          <w:rPr>
            <w:rFonts w:ascii="Bookman Old Style" w:hAnsi="Bookman Old Style"/>
            <w:noProof/>
            <w:webHidden/>
            <w:sz w:val="22"/>
            <w:szCs w:val="22"/>
          </w:rPr>
          <w:fldChar w:fldCharType="begin"/>
        </w:r>
        <w:r w:rsidRPr="006B1F8F">
          <w:rPr>
            <w:rFonts w:ascii="Bookman Old Style" w:hAnsi="Bookman Old Style"/>
            <w:noProof/>
            <w:webHidden/>
            <w:sz w:val="22"/>
            <w:szCs w:val="22"/>
          </w:rPr>
          <w:instrText xml:space="preserve"> PAGEREF _Toc506559955 \h </w:instrText>
        </w:r>
        <w:r w:rsidRPr="006B1F8F">
          <w:rPr>
            <w:rFonts w:ascii="Bookman Old Style" w:hAnsi="Bookman Old Style"/>
            <w:noProof/>
            <w:webHidden/>
            <w:sz w:val="22"/>
            <w:szCs w:val="22"/>
          </w:rPr>
        </w:r>
        <w:r w:rsidRPr="006B1F8F">
          <w:rPr>
            <w:rFonts w:ascii="Bookman Old Style" w:hAnsi="Bookman Old Style"/>
            <w:noProof/>
            <w:webHidden/>
            <w:sz w:val="22"/>
            <w:szCs w:val="22"/>
          </w:rPr>
          <w:fldChar w:fldCharType="separate"/>
        </w:r>
        <w:r w:rsidRPr="006B1F8F">
          <w:rPr>
            <w:rFonts w:ascii="Bookman Old Style" w:hAnsi="Bookman Old Style"/>
            <w:noProof/>
            <w:webHidden/>
            <w:sz w:val="22"/>
            <w:szCs w:val="22"/>
          </w:rPr>
          <w:t>29</w:t>
        </w:r>
        <w:r w:rsidRPr="006B1F8F">
          <w:rPr>
            <w:rFonts w:ascii="Bookman Old Style" w:hAnsi="Bookman Old Style"/>
            <w:noProof/>
            <w:webHidden/>
            <w:sz w:val="22"/>
            <w:szCs w:val="22"/>
          </w:rPr>
          <w:fldChar w:fldCharType="end"/>
        </w:r>
      </w:hyperlink>
    </w:p>
    <w:p w:rsidR="006649DC" w:rsidRPr="006B1F8F" w:rsidRDefault="006649DC">
      <w:pPr>
        <w:pStyle w:val="TOC2"/>
        <w:rPr>
          <w:rFonts w:ascii="Bookman Old Style" w:hAnsi="Bookman Old Style"/>
          <w:color w:val="auto"/>
          <w:sz w:val="22"/>
          <w:szCs w:val="22"/>
        </w:rPr>
      </w:pPr>
      <w:hyperlink w:anchor="_Toc506559956" w:history="1">
        <w:r w:rsidRPr="006B1F8F">
          <w:rPr>
            <w:rStyle w:val="Hyperlink"/>
            <w:rFonts w:ascii="Bookman Old Style" w:hAnsi="Bookman Old Style"/>
            <w:sz w:val="22"/>
            <w:szCs w:val="22"/>
          </w:rPr>
          <w:t>PRASSI</w:t>
        </w:r>
        <w:r w:rsidRPr="006B1F8F">
          <w:rPr>
            <w:rFonts w:ascii="Bookman Old Style" w:hAnsi="Bookman Old Style"/>
            <w:webHidden/>
            <w:sz w:val="22"/>
            <w:szCs w:val="22"/>
          </w:rPr>
          <w:tab/>
        </w:r>
        <w:r w:rsidRPr="006B1F8F">
          <w:rPr>
            <w:rFonts w:ascii="Bookman Old Style" w:hAnsi="Bookman Old Style"/>
            <w:webHidden/>
            <w:sz w:val="22"/>
            <w:szCs w:val="22"/>
          </w:rPr>
          <w:fldChar w:fldCharType="begin"/>
        </w:r>
        <w:r w:rsidRPr="006B1F8F">
          <w:rPr>
            <w:rFonts w:ascii="Bookman Old Style" w:hAnsi="Bookman Old Style"/>
            <w:webHidden/>
            <w:sz w:val="22"/>
            <w:szCs w:val="22"/>
          </w:rPr>
          <w:instrText xml:space="preserve"> PAGEREF _Toc506559956 \h </w:instrText>
        </w:r>
        <w:r w:rsidRPr="006B1F8F">
          <w:rPr>
            <w:rFonts w:ascii="Bookman Old Style" w:hAnsi="Bookman Old Style"/>
            <w:webHidden/>
            <w:sz w:val="22"/>
            <w:szCs w:val="22"/>
          </w:rPr>
        </w:r>
        <w:r w:rsidRPr="006B1F8F">
          <w:rPr>
            <w:rFonts w:ascii="Bookman Old Style" w:hAnsi="Bookman Old Style"/>
            <w:webHidden/>
            <w:sz w:val="22"/>
            <w:szCs w:val="22"/>
          </w:rPr>
          <w:fldChar w:fldCharType="separate"/>
        </w:r>
        <w:r w:rsidRPr="006B1F8F">
          <w:rPr>
            <w:rFonts w:ascii="Bookman Old Style" w:hAnsi="Bookman Old Style"/>
            <w:webHidden/>
            <w:sz w:val="22"/>
            <w:szCs w:val="22"/>
          </w:rPr>
          <w:t>35</w:t>
        </w:r>
        <w:r w:rsidRPr="006B1F8F">
          <w:rPr>
            <w:rFonts w:ascii="Bookman Old Style" w:hAnsi="Bookman Old Style"/>
            <w:webHidden/>
            <w:sz w:val="22"/>
            <w:szCs w:val="22"/>
          </w:rPr>
          <w:fldChar w:fldCharType="end"/>
        </w:r>
      </w:hyperlink>
    </w:p>
    <w:p w:rsidR="006649DC" w:rsidRPr="006B1F8F" w:rsidRDefault="006649DC">
      <w:pPr>
        <w:pStyle w:val="TOC3"/>
        <w:tabs>
          <w:tab w:val="right" w:leader="dot" w:pos="9628"/>
        </w:tabs>
        <w:rPr>
          <w:rFonts w:ascii="Bookman Old Style" w:hAnsi="Bookman Old Style"/>
          <w:noProof/>
          <w:sz w:val="22"/>
          <w:szCs w:val="22"/>
        </w:rPr>
      </w:pPr>
      <w:hyperlink w:anchor="_Toc506559957" w:history="1">
        <w:r w:rsidRPr="006B1F8F">
          <w:rPr>
            <w:rStyle w:val="Hyperlink"/>
            <w:rFonts w:ascii="Bookman Old Style" w:hAnsi="Bookman Old Style"/>
            <w:b/>
            <w:noProof/>
            <w:sz w:val="22"/>
            <w:szCs w:val="22"/>
          </w:rPr>
          <w:t>IVA</w:t>
        </w:r>
        <w:r w:rsidRPr="006B1F8F">
          <w:rPr>
            <w:rFonts w:ascii="Bookman Old Style" w:hAnsi="Bookman Old Style"/>
            <w:noProof/>
            <w:webHidden/>
            <w:sz w:val="22"/>
            <w:szCs w:val="22"/>
          </w:rPr>
          <w:tab/>
        </w:r>
        <w:r w:rsidRPr="006B1F8F">
          <w:rPr>
            <w:rFonts w:ascii="Bookman Old Style" w:hAnsi="Bookman Old Style"/>
            <w:noProof/>
            <w:webHidden/>
            <w:sz w:val="22"/>
            <w:szCs w:val="22"/>
          </w:rPr>
          <w:fldChar w:fldCharType="begin"/>
        </w:r>
        <w:r w:rsidRPr="006B1F8F">
          <w:rPr>
            <w:rFonts w:ascii="Bookman Old Style" w:hAnsi="Bookman Old Style"/>
            <w:noProof/>
            <w:webHidden/>
            <w:sz w:val="22"/>
            <w:szCs w:val="22"/>
          </w:rPr>
          <w:instrText xml:space="preserve"> PAGEREF _Toc506559957 \h </w:instrText>
        </w:r>
        <w:r w:rsidRPr="006B1F8F">
          <w:rPr>
            <w:rFonts w:ascii="Bookman Old Style" w:hAnsi="Bookman Old Style"/>
            <w:noProof/>
            <w:webHidden/>
            <w:sz w:val="22"/>
            <w:szCs w:val="22"/>
          </w:rPr>
        </w:r>
        <w:r w:rsidRPr="006B1F8F">
          <w:rPr>
            <w:rFonts w:ascii="Bookman Old Style" w:hAnsi="Bookman Old Style"/>
            <w:noProof/>
            <w:webHidden/>
            <w:sz w:val="22"/>
            <w:szCs w:val="22"/>
          </w:rPr>
          <w:fldChar w:fldCharType="separate"/>
        </w:r>
        <w:r w:rsidRPr="006B1F8F">
          <w:rPr>
            <w:rFonts w:ascii="Bookman Old Style" w:hAnsi="Bookman Old Style"/>
            <w:noProof/>
            <w:webHidden/>
            <w:sz w:val="22"/>
            <w:szCs w:val="22"/>
          </w:rPr>
          <w:t>35</w:t>
        </w:r>
        <w:r w:rsidRPr="006B1F8F">
          <w:rPr>
            <w:rFonts w:ascii="Bookman Old Style" w:hAnsi="Bookman Old Style"/>
            <w:noProof/>
            <w:webHidden/>
            <w:sz w:val="22"/>
            <w:szCs w:val="22"/>
          </w:rPr>
          <w:fldChar w:fldCharType="end"/>
        </w:r>
      </w:hyperlink>
    </w:p>
    <w:p w:rsidR="006649DC" w:rsidRPr="006B1F8F" w:rsidRDefault="006649DC">
      <w:pPr>
        <w:pStyle w:val="TOC3"/>
        <w:tabs>
          <w:tab w:val="right" w:leader="dot" w:pos="9628"/>
        </w:tabs>
        <w:rPr>
          <w:rFonts w:ascii="Bookman Old Style" w:hAnsi="Bookman Old Style"/>
          <w:noProof/>
          <w:sz w:val="22"/>
          <w:szCs w:val="22"/>
        </w:rPr>
      </w:pPr>
      <w:hyperlink w:anchor="_Toc506559958" w:history="1">
        <w:r w:rsidRPr="006B1F8F">
          <w:rPr>
            <w:rStyle w:val="Hyperlink"/>
            <w:rFonts w:ascii="Bookman Old Style" w:hAnsi="Bookman Old Style"/>
            <w:b/>
            <w:noProof/>
            <w:sz w:val="22"/>
            <w:szCs w:val="22"/>
          </w:rPr>
          <w:t>IMPOSTE DIRETTE</w:t>
        </w:r>
        <w:r w:rsidRPr="006B1F8F">
          <w:rPr>
            <w:rFonts w:ascii="Bookman Old Style" w:hAnsi="Bookman Old Style"/>
            <w:noProof/>
            <w:webHidden/>
            <w:sz w:val="22"/>
            <w:szCs w:val="22"/>
          </w:rPr>
          <w:tab/>
        </w:r>
        <w:r w:rsidRPr="006B1F8F">
          <w:rPr>
            <w:rFonts w:ascii="Bookman Old Style" w:hAnsi="Bookman Old Style"/>
            <w:noProof/>
            <w:webHidden/>
            <w:sz w:val="22"/>
            <w:szCs w:val="22"/>
          </w:rPr>
          <w:fldChar w:fldCharType="begin"/>
        </w:r>
        <w:r w:rsidRPr="006B1F8F">
          <w:rPr>
            <w:rFonts w:ascii="Bookman Old Style" w:hAnsi="Bookman Old Style"/>
            <w:noProof/>
            <w:webHidden/>
            <w:sz w:val="22"/>
            <w:szCs w:val="22"/>
          </w:rPr>
          <w:instrText xml:space="preserve"> PAGEREF _Toc506559958 \h </w:instrText>
        </w:r>
        <w:r w:rsidRPr="006B1F8F">
          <w:rPr>
            <w:rFonts w:ascii="Bookman Old Style" w:hAnsi="Bookman Old Style"/>
            <w:noProof/>
            <w:webHidden/>
            <w:sz w:val="22"/>
            <w:szCs w:val="22"/>
          </w:rPr>
        </w:r>
        <w:r w:rsidRPr="006B1F8F">
          <w:rPr>
            <w:rFonts w:ascii="Bookman Old Style" w:hAnsi="Bookman Old Style"/>
            <w:noProof/>
            <w:webHidden/>
            <w:sz w:val="22"/>
            <w:szCs w:val="22"/>
          </w:rPr>
          <w:fldChar w:fldCharType="separate"/>
        </w:r>
        <w:r w:rsidRPr="006B1F8F">
          <w:rPr>
            <w:rFonts w:ascii="Bookman Old Style" w:hAnsi="Bookman Old Style"/>
            <w:noProof/>
            <w:webHidden/>
            <w:sz w:val="22"/>
            <w:szCs w:val="22"/>
          </w:rPr>
          <w:t>41</w:t>
        </w:r>
        <w:r w:rsidRPr="006B1F8F">
          <w:rPr>
            <w:rFonts w:ascii="Bookman Old Style" w:hAnsi="Bookman Old Style"/>
            <w:noProof/>
            <w:webHidden/>
            <w:sz w:val="22"/>
            <w:szCs w:val="22"/>
          </w:rPr>
          <w:fldChar w:fldCharType="end"/>
        </w:r>
      </w:hyperlink>
    </w:p>
    <w:p w:rsidR="006649DC" w:rsidRPr="006B1F8F" w:rsidRDefault="006649DC">
      <w:pPr>
        <w:pStyle w:val="TOC3"/>
        <w:tabs>
          <w:tab w:val="right" w:leader="dot" w:pos="9628"/>
        </w:tabs>
        <w:rPr>
          <w:rFonts w:ascii="Bookman Old Style" w:hAnsi="Bookman Old Style"/>
          <w:noProof/>
          <w:sz w:val="22"/>
          <w:szCs w:val="22"/>
        </w:rPr>
      </w:pPr>
      <w:hyperlink w:anchor="_Toc506559959" w:history="1">
        <w:r w:rsidRPr="006B1F8F">
          <w:rPr>
            <w:rStyle w:val="Hyperlink"/>
            <w:rFonts w:ascii="Bookman Old Style" w:hAnsi="Bookman Old Style"/>
            <w:b/>
            <w:noProof/>
            <w:sz w:val="22"/>
            <w:szCs w:val="22"/>
          </w:rPr>
          <w:t>ALTRE IMPOSTE INDIRETTE, IRAP e TRIBUTI LOCALI</w:t>
        </w:r>
        <w:r w:rsidRPr="006B1F8F">
          <w:rPr>
            <w:rFonts w:ascii="Bookman Old Style" w:hAnsi="Bookman Old Style"/>
            <w:noProof/>
            <w:webHidden/>
            <w:sz w:val="22"/>
            <w:szCs w:val="22"/>
          </w:rPr>
          <w:tab/>
        </w:r>
        <w:r w:rsidRPr="006B1F8F">
          <w:rPr>
            <w:rFonts w:ascii="Bookman Old Style" w:hAnsi="Bookman Old Style"/>
            <w:noProof/>
            <w:webHidden/>
            <w:sz w:val="22"/>
            <w:szCs w:val="22"/>
          </w:rPr>
          <w:fldChar w:fldCharType="begin"/>
        </w:r>
        <w:r w:rsidRPr="006B1F8F">
          <w:rPr>
            <w:rFonts w:ascii="Bookman Old Style" w:hAnsi="Bookman Old Style"/>
            <w:noProof/>
            <w:webHidden/>
            <w:sz w:val="22"/>
            <w:szCs w:val="22"/>
          </w:rPr>
          <w:instrText xml:space="preserve"> PAGEREF _Toc506559959 \h </w:instrText>
        </w:r>
        <w:r w:rsidRPr="006B1F8F">
          <w:rPr>
            <w:rFonts w:ascii="Bookman Old Style" w:hAnsi="Bookman Old Style"/>
            <w:noProof/>
            <w:webHidden/>
            <w:sz w:val="22"/>
            <w:szCs w:val="22"/>
          </w:rPr>
        </w:r>
        <w:r w:rsidRPr="006B1F8F">
          <w:rPr>
            <w:rFonts w:ascii="Bookman Old Style" w:hAnsi="Bookman Old Style"/>
            <w:noProof/>
            <w:webHidden/>
            <w:sz w:val="22"/>
            <w:szCs w:val="22"/>
          </w:rPr>
          <w:fldChar w:fldCharType="separate"/>
        </w:r>
        <w:r w:rsidRPr="006B1F8F">
          <w:rPr>
            <w:rFonts w:ascii="Bookman Old Style" w:hAnsi="Bookman Old Style"/>
            <w:noProof/>
            <w:webHidden/>
            <w:sz w:val="22"/>
            <w:szCs w:val="22"/>
          </w:rPr>
          <w:t>49</w:t>
        </w:r>
        <w:r w:rsidRPr="006B1F8F">
          <w:rPr>
            <w:rFonts w:ascii="Bookman Old Style" w:hAnsi="Bookman Old Style"/>
            <w:noProof/>
            <w:webHidden/>
            <w:sz w:val="22"/>
            <w:szCs w:val="22"/>
          </w:rPr>
          <w:fldChar w:fldCharType="end"/>
        </w:r>
      </w:hyperlink>
    </w:p>
    <w:p w:rsidR="006649DC" w:rsidRPr="006B1F8F" w:rsidRDefault="006649DC">
      <w:pPr>
        <w:pStyle w:val="TOC3"/>
        <w:tabs>
          <w:tab w:val="right" w:leader="dot" w:pos="9628"/>
        </w:tabs>
        <w:rPr>
          <w:rFonts w:ascii="Bookman Old Style" w:hAnsi="Bookman Old Style"/>
          <w:noProof/>
          <w:sz w:val="22"/>
          <w:szCs w:val="22"/>
        </w:rPr>
      </w:pPr>
      <w:hyperlink w:anchor="_Toc506559960" w:history="1">
        <w:r w:rsidRPr="006B1F8F">
          <w:rPr>
            <w:rStyle w:val="Hyperlink"/>
            <w:rFonts w:ascii="Bookman Old Style" w:hAnsi="Bookman Old Style"/>
            <w:b/>
            <w:noProof/>
            <w:sz w:val="22"/>
            <w:szCs w:val="22"/>
          </w:rPr>
          <w:t>ACCERTAMENTO / RISCOSSIONE / CONTENZIOSO</w:t>
        </w:r>
        <w:r w:rsidRPr="006B1F8F">
          <w:rPr>
            <w:rFonts w:ascii="Bookman Old Style" w:hAnsi="Bookman Old Style"/>
            <w:noProof/>
            <w:webHidden/>
            <w:sz w:val="22"/>
            <w:szCs w:val="22"/>
          </w:rPr>
          <w:tab/>
        </w:r>
        <w:r w:rsidRPr="006B1F8F">
          <w:rPr>
            <w:rFonts w:ascii="Bookman Old Style" w:hAnsi="Bookman Old Style"/>
            <w:noProof/>
            <w:webHidden/>
            <w:sz w:val="22"/>
            <w:szCs w:val="22"/>
          </w:rPr>
          <w:fldChar w:fldCharType="begin"/>
        </w:r>
        <w:r w:rsidRPr="006B1F8F">
          <w:rPr>
            <w:rFonts w:ascii="Bookman Old Style" w:hAnsi="Bookman Old Style"/>
            <w:noProof/>
            <w:webHidden/>
            <w:sz w:val="22"/>
            <w:szCs w:val="22"/>
          </w:rPr>
          <w:instrText xml:space="preserve"> PAGEREF _Toc506559960 \h </w:instrText>
        </w:r>
        <w:r w:rsidRPr="006B1F8F">
          <w:rPr>
            <w:rFonts w:ascii="Bookman Old Style" w:hAnsi="Bookman Old Style"/>
            <w:noProof/>
            <w:webHidden/>
            <w:sz w:val="22"/>
            <w:szCs w:val="22"/>
          </w:rPr>
        </w:r>
        <w:r w:rsidRPr="006B1F8F">
          <w:rPr>
            <w:rFonts w:ascii="Bookman Old Style" w:hAnsi="Bookman Old Style"/>
            <w:noProof/>
            <w:webHidden/>
            <w:sz w:val="22"/>
            <w:szCs w:val="22"/>
          </w:rPr>
          <w:fldChar w:fldCharType="separate"/>
        </w:r>
        <w:r w:rsidRPr="006B1F8F">
          <w:rPr>
            <w:rFonts w:ascii="Bookman Old Style" w:hAnsi="Bookman Old Style"/>
            <w:noProof/>
            <w:webHidden/>
            <w:sz w:val="22"/>
            <w:szCs w:val="22"/>
          </w:rPr>
          <w:t>51</w:t>
        </w:r>
        <w:r w:rsidRPr="006B1F8F">
          <w:rPr>
            <w:rFonts w:ascii="Bookman Old Style" w:hAnsi="Bookman Old Style"/>
            <w:noProof/>
            <w:webHidden/>
            <w:sz w:val="22"/>
            <w:szCs w:val="22"/>
          </w:rPr>
          <w:fldChar w:fldCharType="end"/>
        </w:r>
      </w:hyperlink>
    </w:p>
    <w:p w:rsidR="006649DC" w:rsidRPr="006B1F8F" w:rsidRDefault="006649DC">
      <w:pPr>
        <w:pStyle w:val="TOC3"/>
        <w:tabs>
          <w:tab w:val="right" w:leader="dot" w:pos="9628"/>
        </w:tabs>
        <w:rPr>
          <w:rFonts w:ascii="Bookman Old Style" w:hAnsi="Bookman Old Style"/>
          <w:noProof/>
          <w:sz w:val="22"/>
          <w:szCs w:val="22"/>
        </w:rPr>
      </w:pPr>
      <w:hyperlink w:anchor="_Toc506559961" w:history="1">
        <w:r w:rsidRPr="006B1F8F">
          <w:rPr>
            <w:rStyle w:val="Hyperlink"/>
            <w:rFonts w:ascii="Bookman Old Style" w:hAnsi="Bookman Old Style"/>
            <w:b/>
            <w:noProof/>
            <w:sz w:val="22"/>
            <w:szCs w:val="22"/>
          </w:rPr>
          <w:t>VARIE</w:t>
        </w:r>
        <w:r w:rsidRPr="006B1F8F">
          <w:rPr>
            <w:rFonts w:ascii="Bookman Old Style" w:hAnsi="Bookman Old Style"/>
            <w:noProof/>
            <w:webHidden/>
            <w:sz w:val="22"/>
            <w:szCs w:val="22"/>
          </w:rPr>
          <w:tab/>
        </w:r>
        <w:r w:rsidRPr="006B1F8F">
          <w:rPr>
            <w:rFonts w:ascii="Bookman Old Style" w:hAnsi="Bookman Old Style"/>
            <w:noProof/>
            <w:webHidden/>
            <w:sz w:val="22"/>
            <w:szCs w:val="22"/>
          </w:rPr>
          <w:fldChar w:fldCharType="begin"/>
        </w:r>
        <w:r w:rsidRPr="006B1F8F">
          <w:rPr>
            <w:rFonts w:ascii="Bookman Old Style" w:hAnsi="Bookman Old Style"/>
            <w:noProof/>
            <w:webHidden/>
            <w:sz w:val="22"/>
            <w:szCs w:val="22"/>
          </w:rPr>
          <w:instrText xml:space="preserve"> PAGEREF _Toc506559961 \h </w:instrText>
        </w:r>
        <w:r w:rsidRPr="006B1F8F">
          <w:rPr>
            <w:rFonts w:ascii="Bookman Old Style" w:hAnsi="Bookman Old Style"/>
            <w:noProof/>
            <w:webHidden/>
            <w:sz w:val="22"/>
            <w:szCs w:val="22"/>
          </w:rPr>
        </w:r>
        <w:r w:rsidRPr="006B1F8F">
          <w:rPr>
            <w:rFonts w:ascii="Bookman Old Style" w:hAnsi="Bookman Old Style"/>
            <w:noProof/>
            <w:webHidden/>
            <w:sz w:val="22"/>
            <w:szCs w:val="22"/>
          </w:rPr>
          <w:fldChar w:fldCharType="separate"/>
        </w:r>
        <w:r w:rsidRPr="006B1F8F">
          <w:rPr>
            <w:rFonts w:ascii="Bookman Old Style" w:hAnsi="Bookman Old Style"/>
            <w:noProof/>
            <w:webHidden/>
            <w:sz w:val="22"/>
            <w:szCs w:val="22"/>
          </w:rPr>
          <w:t>57</w:t>
        </w:r>
        <w:r w:rsidRPr="006B1F8F">
          <w:rPr>
            <w:rFonts w:ascii="Bookman Old Style" w:hAnsi="Bookman Old Style"/>
            <w:noProof/>
            <w:webHidden/>
            <w:sz w:val="22"/>
            <w:szCs w:val="22"/>
          </w:rPr>
          <w:fldChar w:fldCharType="end"/>
        </w:r>
      </w:hyperlink>
    </w:p>
    <w:p w:rsidR="006649DC" w:rsidRPr="006B1F8F" w:rsidRDefault="006649DC">
      <w:pPr>
        <w:pStyle w:val="TOC2"/>
        <w:rPr>
          <w:rFonts w:ascii="Bookman Old Style" w:hAnsi="Bookman Old Style"/>
          <w:color w:val="auto"/>
          <w:sz w:val="22"/>
          <w:szCs w:val="22"/>
        </w:rPr>
      </w:pPr>
      <w:hyperlink w:anchor="_Toc506559962" w:history="1">
        <w:r w:rsidRPr="006B1F8F">
          <w:rPr>
            <w:rStyle w:val="Hyperlink"/>
            <w:rFonts w:ascii="Bookman Old Style" w:hAnsi="Bookman Old Style"/>
            <w:sz w:val="22"/>
            <w:szCs w:val="22"/>
          </w:rPr>
          <w:t>GIURISPRUDENZA</w:t>
        </w:r>
        <w:r w:rsidRPr="006B1F8F">
          <w:rPr>
            <w:rFonts w:ascii="Bookman Old Style" w:hAnsi="Bookman Old Style"/>
            <w:webHidden/>
            <w:sz w:val="22"/>
            <w:szCs w:val="22"/>
          </w:rPr>
          <w:tab/>
        </w:r>
        <w:r w:rsidRPr="006B1F8F">
          <w:rPr>
            <w:rFonts w:ascii="Bookman Old Style" w:hAnsi="Bookman Old Style"/>
            <w:webHidden/>
            <w:sz w:val="22"/>
            <w:szCs w:val="22"/>
          </w:rPr>
          <w:fldChar w:fldCharType="begin"/>
        </w:r>
        <w:r w:rsidRPr="006B1F8F">
          <w:rPr>
            <w:rFonts w:ascii="Bookman Old Style" w:hAnsi="Bookman Old Style"/>
            <w:webHidden/>
            <w:sz w:val="22"/>
            <w:szCs w:val="22"/>
          </w:rPr>
          <w:instrText xml:space="preserve"> PAGEREF _Toc506559962 \h </w:instrText>
        </w:r>
        <w:r w:rsidRPr="006B1F8F">
          <w:rPr>
            <w:rFonts w:ascii="Bookman Old Style" w:hAnsi="Bookman Old Style"/>
            <w:webHidden/>
            <w:sz w:val="22"/>
            <w:szCs w:val="22"/>
          </w:rPr>
        </w:r>
        <w:r w:rsidRPr="006B1F8F">
          <w:rPr>
            <w:rFonts w:ascii="Bookman Old Style" w:hAnsi="Bookman Old Style"/>
            <w:webHidden/>
            <w:sz w:val="22"/>
            <w:szCs w:val="22"/>
          </w:rPr>
          <w:fldChar w:fldCharType="separate"/>
        </w:r>
        <w:r w:rsidRPr="006B1F8F">
          <w:rPr>
            <w:rFonts w:ascii="Bookman Old Style" w:hAnsi="Bookman Old Style"/>
            <w:webHidden/>
            <w:sz w:val="22"/>
            <w:szCs w:val="22"/>
          </w:rPr>
          <w:t>77</w:t>
        </w:r>
        <w:r w:rsidRPr="006B1F8F">
          <w:rPr>
            <w:rFonts w:ascii="Bookman Old Style" w:hAnsi="Bookman Old Style"/>
            <w:webHidden/>
            <w:sz w:val="22"/>
            <w:szCs w:val="22"/>
          </w:rPr>
          <w:fldChar w:fldCharType="end"/>
        </w:r>
      </w:hyperlink>
    </w:p>
    <w:p w:rsidR="006649DC" w:rsidRPr="006B1F8F" w:rsidRDefault="006649DC">
      <w:pPr>
        <w:pStyle w:val="TOC3"/>
        <w:tabs>
          <w:tab w:val="right" w:leader="dot" w:pos="9628"/>
        </w:tabs>
        <w:rPr>
          <w:rFonts w:ascii="Bookman Old Style" w:hAnsi="Bookman Old Style"/>
          <w:noProof/>
          <w:sz w:val="22"/>
          <w:szCs w:val="22"/>
        </w:rPr>
      </w:pPr>
      <w:hyperlink w:anchor="_Toc506559963" w:history="1">
        <w:r w:rsidRPr="006B1F8F">
          <w:rPr>
            <w:rStyle w:val="Hyperlink"/>
            <w:rFonts w:ascii="Bookman Old Style" w:hAnsi="Bookman Old Style"/>
            <w:b/>
            <w:noProof/>
            <w:sz w:val="22"/>
            <w:szCs w:val="22"/>
          </w:rPr>
          <w:t>IVA</w:t>
        </w:r>
        <w:r w:rsidRPr="006B1F8F">
          <w:rPr>
            <w:rFonts w:ascii="Bookman Old Style" w:hAnsi="Bookman Old Style"/>
            <w:noProof/>
            <w:webHidden/>
            <w:sz w:val="22"/>
            <w:szCs w:val="22"/>
          </w:rPr>
          <w:tab/>
        </w:r>
        <w:r w:rsidRPr="006B1F8F">
          <w:rPr>
            <w:rFonts w:ascii="Bookman Old Style" w:hAnsi="Bookman Old Style"/>
            <w:noProof/>
            <w:webHidden/>
            <w:sz w:val="22"/>
            <w:szCs w:val="22"/>
          </w:rPr>
          <w:fldChar w:fldCharType="begin"/>
        </w:r>
        <w:r w:rsidRPr="006B1F8F">
          <w:rPr>
            <w:rFonts w:ascii="Bookman Old Style" w:hAnsi="Bookman Old Style"/>
            <w:noProof/>
            <w:webHidden/>
            <w:sz w:val="22"/>
            <w:szCs w:val="22"/>
          </w:rPr>
          <w:instrText xml:space="preserve"> PAGEREF _Toc506559963 \h </w:instrText>
        </w:r>
        <w:r w:rsidRPr="006B1F8F">
          <w:rPr>
            <w:rFonts w:ascii="Bookman Old Style" w:hAnsi="Bookman Old Style"/>
            <w:noProof/>
            <w:webHidden/>
            <w:sz w:val="22"/>
            <w:szCs w:val="22"/>
          </w:rPr>
        </w:r>
        <w:r w:rsidRPr="006B1F8F">
          <w:rPr>
            <w:rFonts w:ascii="Bookman Old Style" w:hAnsi="Bookman Old Style"/>
            <w:noProof/>
            <w:webHidden/>
            <w:sz w:val="22"/>
            <w:szCs w:val="22"/>
          </w:rPr>
          <w:fldChar w:fldCharType="separate"/>
        </w:r>
        <w:r w:rsidRPr="006B1F8F">
          <w:rPr>
            <w:rFonts w:ascii="Bookman Old Style" w:hAnsi="Bookman Old Style"/>
            <w:noProof/>
            <w:webHidden/>
            <w:sz w:val="22"/>
            <w:szCs w:val="22"/>
          </w:rPr>
          <w:t>77</w:t>
        </w:r>
        <w:r w:rsidRPr="006B1F8F">
          <w:rPr>
            <w:rFonts w:ascii="Bookman Old Style" w:hAnsi="Bookman Old Style"/>
            <w:noProof/>
            <w:webHidden/>
            <w:sz w:val="22"/>
            <w:szCs w:val="22"/>
          </w:rPr>
          <w:fldChar w:fldCharType="end"/>
        </w:r>
      </w:hyperlink>
    </w:p>
    <w:p w:rsidR="006649DC" w:rsidRPr="006B1F8F" w:rsidRDefault="006649DC">
      <w:pPr>
        <w:pStyle w:val="TOC3"/>
        <w:tabs>
          <w:tab w:val="right" w:leader="dot" w:pos="9628"/>
        </w:tabs>
        <w:rPr>
          <w:rFonts w:ascii="Bookman Old Style" w:hAnsi="Bookman Old Style"/>
          <w:noProof/>
          <w:sz w:val="22"/>
          <w:szCs w:val="22"/>
        </w:rPr>
      </w:pPr>
      <w:hyperlink w:anchor="_Toc506559964" w:history="1">
        <w:r w:rsidRPr="006B1F8F">
          <w:rPr>
            <w:rStyle w:val="Hyperlink"/>
            <w:rFonts w:ascii="Bookman Old Style" w:hAnsi="Bookman Old Style"/>
            <w:b/>
            <w:noProof/>
            <w:sz w:val="22"/>
            <w:szCs w:val="22"/>
          </w:rPr>
          <w:t>IMPOSTE DIRETTE</w:t>
        </w:r>
        <w:r w:rsidRPr="006B1F8F">
          <w:rPr>
            <w:rFonts w:ascii="Bookman Old Style" w:hAnsi="Bookman Old Style"/>
            <w:noProof/>
            <w:webHidden/>
            <w:sz w:val="22"/>
            <w:szCs w:val="22"/>
          </w:rPr>
          <w:tab/>
        </w:r>
        <w:r w:rsidRPr="006B1F8F">
          <w:rPr>
            <w:rFonts w:ascii="Bookman Old Style" w:hAnsi="Bookman Old Style"/>
            <w:noProof/>
            <w:webHidden/>
            <w:sz w:val="22"/>
            <w:szCs w:val="22"/>
          </w:rPr>
          <w:fldChar w:fldCharType="begin"/>
        </w:r>
        <w:r w:rsidRPr="006B1F8F">
          <w:rPr>
            <w:rFonts w:ascii="Bookman Old Style" w:hAnsi="Bookman Old Style"/>
            <w:noProof/>
            <w:webHidden/>
            <w:sz w:val="22"/>
            <w:szCs w:val="22"/>
          </w:rPr>
          <w:instrText xml:space="preserve"> PAGEREF _Toc506559964 \h </w:instrText>
        </w:r>
        <w:r w:rsidRPr="006B1F8F">
          <w:rPr>
            <w:rFonts w:ascii="Bookman Old Style" w:hAnsi="Bookman Old Style"/>
            <w:noProof/>
            <w:webHidden/>
            <w:sz w:val="22"/>
            <w:szCs w:val="22"/>
          </w:rPr>
        </w:r>
        <w:r w:rsidRPr="006B1F8F">
          <w:rPr>
            <w:rFonts w:ascii="Bookman Old Style" w:hAnsi="Bookman Old Style"/>
            <w:noProof/>
            <w:webHidden/>
            <w:sz w:val="22"/>
            <w:szCs w:val="22"/>
          </w:rPr>
          <w:fldChar w:fldCharType="separate"/>
        </w:r>
        <w:r w:rsidRPr="006B1F8F">
          <w:rPr>
            <w:rFonts w:ascii="Bookman Old Style" w:hAnsi="Bookman Old Style"/>
            <w:noProof/>
            <w:webHidden/>
            <w:sz w:val="22"/>
            <w:szCs w:val="22"/>
          </w:rPr>
          <w:t>77</w:t>
        </w:r>
        <w:r w:rsidRPr="006B1F8F">
          <w:rPr>
            <w:rFonts w:ascii="Bookman Old Style" w:hAnsi="Bookman Old Style"/>
            <w:noProof/>
            <w:webHidden/>
            <w:sz w:val="22"/>
            <w:szCs w:val="22"/>
          </w:rPr>
          <w:fldChar w:fldCharType="end"/>
        </w:r>
      </w:hyperlink>
    </w:p>
    <w:p w:rsidR="006649DC" w:rsidRPr="006B1F8F" w:rsidRDefault="006649DC">
      <w:pPr>
        <w:pStyle w:val="TOC3"/>
        <w:tabs>
          <w:tab w:val="right" w:leader="dot" w:pos="9628"/>
        </w:tabs>
        <w:rPr>
          <w:rFonts w:ascii="Bookman Old Style" w:hAnsi="Bookman Old Style"/>
          <w:noProof/>
          <w:sz w:val="22"/>
          <w:szCs w:val="22"/>
        </w:rPr>
      </w:pPr>
      <w:hyperlink w:anchor="_Toc506559965" w:history="1">
        <w:r w:rsidRPr="006B1F8F">
          <w:rPr>
            <w:rStyle w:val="Hyperlink"/>
            <w:rFonts w:ascii="Bookman Old Style" w:hAnsi="Bookman Old Style"/>
            <w:b/>
            <w:noProof/>
            <w:sz w:val="22"/>
            <w:szCs w:val="22"/>
          </w:rPr>
          <w:t>ALTRE IMPOSTE INDIRETTE, IRAP e TRIBUTI LOCALI</w:t>
        </w:r>
        <w:r w:rsidRPr="006B1F8F">
          <w:rPr>
            <w:rFonts w:ascii="Bookman Old Style" w:hAnsi="Bookman Old Style"/>
            <w:noProof/>
            <w:webHidden/>
            <w:sz w:val="22"/>
            <w:szCs w:val="22"/>
          </w:rPr>
          <w:tab/>
        </w:r>
        <w:r w:rsidRPr="006B1F8F">
          <w:rPr>
            <w:rFonts w:ascii="Bookman Old Style" w:hAnsi="Bookman Old Style"/>
            <w:noProof/>
            <w:webHidden/>
            <w:sz w:val="22"/>
            <w:szCs w:val="22"/>
          </w:rPr>
          <w:fldChar w:fldCharType="begin"/>
        </w:r>
        <w:r w:rsidRPr="006B1F8F">
          <w:rPr>
            <w:rFonts w:ascii="Bookman Old Style" w:hAnsi="Bookman Old Style"/>
            <w:noProof/>
            <w:webHidden/>
            <w:sz w:val="22"/>
            <w:szCs w:val="22"/>
          </w:rPr>
          <w:instrText xml:space="preserve"> PAGEREF _Toc506559965 \h </w:instrText>
        </w:r>
        <w:r w:rsidRPr="006B1F8F">
          <w:rPr>
            <w:rFonts w:ascii="Bookman Old Style" w:hAnsi="Bookman Old Style"/>
            <w:noProof/>
            <w:webHidden/>
            <w:sz w:val="22"/>
            <w:szCs w:val="22"/>
          </w:rPr>
        </w:r>
        <w:r w:rsidRPr="006B1F8F">
          <w:rPr>
            <w:rFonts w:ascii="Bookman Old Style" w:hAnsi="Bookman Old Style"/>
            <w:noProof/>
            <w:webHidden/>
            <w:sz w:val="22"/>
            <w:szCs w:val="22"/>
          </w:rPr>
          <w:fldChar w:fldCharType="separate"/>
        </w:r>
        <w:r w:rsidRPr="006B1F8F">
          <w:rPr>
            <w:rFonts w:ascii="Bookman Old Style" w:hAnsi="Bookman Old Style"/>
            <w:noProof/>
            <w:webHidden/>
            <w:sz w:val="22"/>
            <w:szCs w:val="22"/>
          </w:rPr>
          <w:t>77</w:t>
        </w:r>
        <w:r w:rsidRPr="006B1F8F">
          <w:rPr>
            <w:rFonts w:ascii="Bookman Old Style" w:hAnsi="Bookman Old Style"/>
            <w:noProof/>
            <w:webHidden/>
            <w:sz w:val="22"/>
            <w:szCs w:val="22"/>
          </w:rPr>
          <w:fldChar w:fldCharType="end"/>
        </w:r>
      </w:hyperlink>
    </w:p>
    <w:p w:rsidR="006649DC" w:rsidRPr="006B1F8F" w:rsidRDefault="006649DC">
      <w:pPr>
        <w:pStyle w:val="TOC3"/>
        <w:tabs>
          <w:tab w:val="right" w:leader="dot" w:pos="9628"/>
        </w:tabs>
        <w:rPr>
          <w:rFonts w:ascii="Bookman Old Style" w:hAnsi="Bookman Old Style"/>
          <w:noProof/>
          <w:sz w:val="22"/>
          <w:szCs w:val="22"/>
        </w:rPr>
      </w:pPr>
      <w:hyperlink w:anchor="_Toc506559966" w:history="1">
        <w:r w:rsidRPr="006B1F8F">
          <w:rPr>
            <w:rStyle w:val="Hyperlink"/>
            <w:rFonts w:ascii="Bookman Old Style" w:hAnsi="Bookman Old Style"/>
            <w:b/>
            <w:noProof/>
            <w:sz w:val="22"/>
            <w:szCs w:val="22"/>
          </w:rPr>
          <w:t>ACCERTAMENTO / RISCOSSIONE / CONTENZIOSO</w:t>
        </w:r>
        <w:r w:rsidRPr="006B1F8F">
          <w:rPr>
            <w:rFonts w:ascii="Bookman Old Style" w:hAnsi="Bookman Old Style"/>
            <w:noProof/>
            <w:webHidden/>
            <w:sz w:val="22"/>
            <w:szCs w:val="22"/>
          </w:rPr>
          <w:tab/>
        </w:r>
        <w:r w:rsidRPr="006B1F8F">
          <w:rPr>
            <w:rFonts w:ascii="Bookman Old Style" w:hAnsi="Bookman Old Style"/>
            <w:noProof/>
            <w:webHidden/>
            <w:sz w:val="22"/>
            <w:szCs w:val="22"/>
          </w:rPr>
          <w:fldChar w:fldCharType="begin"/>
        </w:r>
        <w:r w:rsidRPr="006B1F8F">
          <w:rPr>
            <w:rFonts w:ascii="Bookman Old Style" w:hAnsi="Bookman Old Style"/>
            <w:noProof/>
            <w:webHidden/>
            <w:sz w:val="22"/>
            <w:szCs w:val="22"/>
          </w:rPr>
          <w:instrText xml:space="preserve"> PAGEREF _Toc506559966 \h </w:instrText>
        </w:r>
        <w:r w:rsidRPr="006B1F8F">
          <w:rPr>
            <w:rFonts w:ascii="Bookman Old Style" w:hAnsi="Bookman Old Style"/>
            <w:noProof/>
            <w:webHidden/>
            <w:sz w:val="22"/>
            <w:szCs w:val="22"/>
          </w:rPr>
        </w:r>
        <w:r w:rsidRPr="006B1F8F">
          <w:rPr>
            <w:rFonts w:ascii="Bookman Old Style" w:hAnsi="Bookman Old Style"/>
            <w:noProof/>
            <w:webHidden/>
            <w:sz w:val="22"/>
            <w:szCs w:val="22"/>
          </w:rPr>
          <w:fldChar w:fldCharType="separate"/>
        </w:r>
        <w:r w:rsidRPr="006B1F8F">
          <w:rPr>
            <w:rFonts w:ascii="Bookman Old Style" w:hAnsi="Bookman Old Style"/>
            <w:noProof/>
            <w:webHidden/>
            <w:sz w:val="22"/>
            <w:szCs w:val="22"/>
          </w:rPr>
          <w:t>79</w:t>
        </w:r>
        <w:r w:rsidRPr="006B1F8F">
          <w:rPr>
            <w:rFonts w:ascii="Bookman Old Style" w:hAnsi="Bookman Old Style"/>
            <w:noProof/>
            <w:webHidden/>
            <w:sz w:val="22"/>
            <w:szCs w:val="22"/>
          </w:rPr>
          <w:fldChar w:fldCharType="end"/>
        </w:r>
      </w:hyperlink>
    </w:p>
    <w:p w:rsidR="006649DC" w:rsidRPr="006B1F8F" w:rsidRDefault="006649DC">
      <w:pPr>
        <w:pStyle w:val="TOC3"/>
        <w:tabs>
          <w:tab w:val="right" w:leader="dot" w:pos="9628"/>
        </w:tabs>
        <w:rPr>
          <w:rFonts w:ascii="Bookman Old Style" w:hAnsi="Bookman Old Style"/>
          <w:noProof/>
          <w:sz w:val="22"/>
          <w:szCs w:val="22"/>
        </w:rPr>
      </w:pPr>
      <w:hyperlink w:anchor="_Toc506559967" w:history="1">
        <w:r w:rsidRPr="006B1F8F">
          <w:rPr>
            <w:rStyle w:val="Hyperlink"/>
            <w:rFonts w:ascii="Bookman Old Style" w:hAnsi="Bookman Old Style"/>
            <w:b/>
            <w:noProof/>
            <w:sz w:val="22"/>
            <w:szCs w:val="22"/>
          </w:rPr>
          <w:t>VARIE</w:t>
        </w:r>
        <w:r w:rsidRPr="006B1F8F">
          <w:rPr>
            <w:rFonts w:ascii="Bookman Old Style" w:hAnsi="Bookman Old Style"/>
            <w:noProof/>
            <w:webHidden/>
            <w:sz w:val="22"/>
            <w:szCs w:val="22"/>
          </w:rPr>
          <w:tab/>
        </w:r>
        <w:r w:rsidRPr="006B1F8F">
          <w:rPr>
            <w:rFonts w:ascii="Bookman Old Style" w:hAnsi="Bookman Old Style"/>
            <w:noProof/>
            <w:webHidden/>
            <w:sz w:val="22"/>
            <w:szCs w:val="22"/>
          </w:rPr>
          <w:fldChar w:fldCharType="begin"/>
        </w:r>
        <w:r w:rsidRPr="006B1F8F">
          <w:rPr>
            <w:rFonts w:ascii="Bookman Old Style" w:hAnsi="Bookman Old Style"/>
            <w:noProof/>
            <w:webHidden/>
            <w:sz w:val="22"/>
            <w:szCs w:val="22"/>
          </w:rPr>
          <w:instrText xml:space="preserve"> PAGEREF _Toc506559967 \h </w:instrText>
        </w:r>
        <w:r w:rsidRPr="006B1F8F">
          <w:rPr>
            <w:rFonts w:ascii="Bookman Old Style" w:hAnsi="Bookman Old Style"/>
            <w:noProof/>
            <w:webHidden/>
            <w:sz w:val="22"/>
            <w:szCs w:val="22"/>
          </w:rPr>
        </w:r>
        <w:r w:rsidRPr="006B1F8F">
          <w:rPr>
            <w:rFonts w:ascii="Bookman Old Style" w:hAnsi="Bookman Old Style"/>
            <w:noProof/>
            <w:webHidden/>
            <w:sz w:val="22"/>
            <w:szCs w:val="22"/>
          </w:rPr>
          <w:fldChar w:fldCharType="separate"/>
        </w:r>
        <w:r w:rsidRPr="006B1F8F">
          <w:rPr>
            <w:rFonts w:ascii="Bookman Old Style" w:hAnsi="Bookman Old Style"/>
            <w:noProof/>
            <w:webHidden/>
            <w:sz w:val="22"/>
            <w:szCs w:val="22"/>
          </w:rPr>
          <w:t>81</w:t>
        </w:r>
        <w:r w:rsidRPr="006B1F8F">
          <w:rPr>
            <w:rFonts w:ascii="Bookman Old Style" w:hAnsi="Bookman Old Style"/>
            <w:noProof/>
            <w:webHidden/>
            <w:sz w:val="22"/>
            <w:szCs w:val="22"/>
          </w:rPr>
          <w:fldChar w:fldCharType="end"/>
        </w:r>
      </w:hyperlink>
    </w:p>
    <w:p w:rsidR="006649DC" w:rsidRPr="006B1F8F" w:rsidRDefault="006649DC">
      <w:pPr>
        <w:pStyle w:val="TOC1"/>
        <w:tabs>
          <w:tab w:val="right" w:leader="dot" w:pos="9628"/>
        </w:tabs>
        <w:rPr>
          <w:rFonts w:ascii="Bookman Old Style" w:hAnsi="Bookman Old Style"/>
          <w:noProof/>
          <w:color w:val="auto"/>
          <w:sz w:val="22"/>
          <w:szCs w:val="22"/>
        </w:rPr>
      </w:pPr>
      <w:hyperlink w:anchor="_Toc506559968" w:history="1">
        <w:r w:rsidRPr="006B1F8F">
          <w:rPr>
            <w:rStyle w:val="Hyperlink"/>
            <w:rFonts w:ascii="Bookman Old Style" w:hAnsi="Bookman Old Style"/>
            <w:noProof/>
            <w:sz w:val="22"/>
            <w:szCs w:val="22"/>
          </w:rPr>
          <w:t>APPROFONDIMENTI</w:t>
        </w:r>
        <w:r w:rsidRPr="006B1F8F">
          <w:rPr>
            <w:rFonts w:ascii="Bookman Old Style" w:hAnsi="Bookman Old Style"/>
            <w:noProof/>
            <w:webHidden/>
            <w:sz w:val="22"/>
            <w:szCs w:val="22"/>
          </w:rPr>
          <w:tab/>
        </w:r>
        <w:r w:rsidRPr="006B1F8F">
          <w:rPr>
            <w:rFonts w:ascii="Bookman Old Style" w:hAnsi="Bookman Old Style"/>
            <w:noProof/>
            <w:webHidden/>
            <w:sz w:val="22"/>
            <w:szCs w:val="22"/>
          </w:rPr>
          <w:fldChar w:fldCharType="begin"/>
        </w:r>
        <w:r w:rsidRPr="006B1F8F">
          <w:rPr>
            <w:rFonts w:ascii="Bookman Old Style" w:hAnsi="Bookman Old Style"/>
            <w:noProof/>
            <w:webHidden/>
            <w:sz w:val="22"/>
            <w:szCs w:val="22"/>
          </w:rPr>
          <w:instrText xml:space="preserve"> PAGEREF _Toc506559968 \h </w:instrText>
        </w:r>
        <w:r w:rsidRPr="006B1F8F">
          <w:rPr>
            <w:rFonts w:ascii="Bookman Old Style" w:hAnsi="Bookman Old Style"/>
            <w:noProof/>
            <w:webHidden/>
            <w:sz w:val="22"/>
            <w:szCs w:val="22"/>
          </w:rPr>
        </w:r>
        <w:r w:rsidRPr="006B1F8F">
          <w:rPr>
            <w:rFonts w:ascii="Bookman Old Style" w:hAnsi="Bookman Old Style"/>
            <w:noProof/>
            <w:webHidden/>
            <w:sz w:val="22"/>
            <w:szCs w:val="22"/>
          </w:rPr>
          <w:fldChar w:fldCharType="separate"/>
        </w:r>
        <w:r w:rsidRPr="006B1F8F">
          <w:rPr>
            <w:rFonts w:ascii="Bookman Old Style" w:hAnsi="Bookman Old Style"/>
            <w:noProof/>
            <w:webHidden/>
            <w:sz w:val="22"/>
            <w:szCs w:val="22"/>
          </w:rPr>
          <w:t>86</w:t>
        </w:r>
        <w:r w:rsidRPr="006B1F8F">
          <w:rPr>
            <w:rFonts w:ascii="Bookman Old Style" w:hAnsi="Bookman Old Style"/>
            <w:noProof/>
            <w:webHidden/>
            <w:sz w:val="22"/>
            <w:szCs w:val="22"/>
          </w:rPr>
          <w:fldChar w:fldCharType="end"/>
        </w:r>
      </w:hyperlink>
    </w:p>
    <w:p w:rsidR="006649DC" w:rsidRPr="006B1F8F" w:rsidRDefault="006649DC">
      <w:pPr>
        <w:pStyle w:val="TOC1"/>
        <w:tabs>
          <w:tab w:val="right" w:leader="dot" w:pos="9628"/>
        </w:tabs>
        <w:rPr>
          <w:rFonts w:ascii="Bookman Old Style" w:hAnsi="Bookman Old Style"/>
          <w:noProof/>
          <w:color w:val="auto"/>
          <w:sz w:val="22"/>
          <w:szCs w:val="22"/>
        </w:rPr>
      </w:pPr>
      <w:hyperlink w:anchor="_Toc506559969" w:history="1">
        <w:r w:rsidRPr="006B1F8F">
          <w:rPr>
            <w:rStyle w:val="Hyperlink"/>
            <w:rFonts w:ascii="Bookman Old Style" w:hAnsi="Bookman Old Style"/>
            <w:noProof/>
            <w:color w:val="auto"/>
            <w:sz w:val="22"/>
            <w:szCs w:val="22"/>
            <w:lang w:eastAsia="en-US"/>
          </w:rPr>
          <w:t>Legge di bilancio 2018</w:t>
        </w:r>
        <w:r w:rsidRPr="006B1F8F">
          <w:rPr>
            <w:rFonts w:ascii="Bookman Old Style" w:hAnsi="Bookman Old Style"/>
            <w:noProof/>
            <w:webHidden/>
            <w:color w:val="auto"/>
            <w:sz w:val="22"/>
            <w:szCs w:val="22"/>
          </w:rPr>
          <w:tab/>
        </w:r>
        <w:r w:rsidRPr="006B1F8F">
          <w:rPr>
            <w:rFonts w:ascii="Bookman Old Style" w:hAnsi="Bookman Old Style"/>
            <w:noProof/>
            <w:webHidden/>
            <w:color w:val="auto"/>
            <w:sz w:val="22"/>
            <w:szCs w:val="22"/>
          </w:rPr>
          <w:fldChar w:fldCharType="begin"/>
        </w:r>
        <w:r w:rsidRPr="006B1F8F">
          <w:rPr>
            <w:rFonts w:ascii="Bookman Old Style" w:hAnsi="Bookman Old Style"/>
            <w:noProof/>
            <w:webHidden/>
            <w:color w:val="auto"/>
            <w:sz w:val="22"/>
            <w:szCs w:val="22"/>
          </w:rPr>
          <w:instrText xml:space="preserve"> PAGEREF _Toc506559969 \h </w:instrText>
        </w:r>
        <w:r w:rsidRPr="006B1F8F">
          <w:rPr>
            <w:rFonts w:ascii="Bookman Old Style" w:hAnsi="Bookman Old Style"/>
            <w:noProof/>
            <w:webHidden/>
            <w:color w:val="auto"/>
            <w:sz w:val="22"/>
            <w:szCs w:val="22"/>
          </w:rPr>
        </w:r>
        <w:r w:rsidRPr="006B1F8F">
          <w:rPr>
            <w:rFonts w:ascii="Bookman Old Style" w:hAnsi="Bookman Old Style"/>
            <w:noProof/>
            <w:webHidden/>
            <w:color w:val="auto"/>
            <w:sz w:val="22"/>
            <w:szCs w:val="22"/>
          </w:rPr>
          <w:fldChar w:fldCharType="separate"/>
        </w:r>
        <w:r w:rsidRPr="006B1F8F">
          <w:rPr>
            <w:rFonts w:ascii="Bookman Old Style" w:hAnsi="Bookman Old Style"/>
            <w:noProof/>
            <w:webHidden/>
            <w:color w:val="auto"/>
            <w:sz w:val="22"/>
            <w:szCs w:val="22"/>
          </w:rPr>
          <w:t>87</w:t>
        </w:r>
        <w:r w:rsidRPr="006B1F8F">
          <w:rPr>
            <w:rFonts w:ascii="Bookman Old Style" w:hAnsi="Bookman Old Style"/>
            <w:noProof/>
            <w:webHidden/>
            <w:color w:val="auto"/>
            <w:sz w:val="22"/>
            <w:szCs w:val="22"/>
          </w:rPr>
          <w:fldChar w:fldCharType="end"/>
        </w:r>
      </w:hyperlink>
    </w:p>
    <w:p w:rsidR="006649DC" w:rsidRPr="006B1F8F" w:rsidRDefault="006649DC">
      <w:pPr>
        <w:pStyle w:val="TOC1"/>
        <w:tabs>
          <w:tab w:val="right" w:leader="dot" w:pos="9628"/>
        </w:tabs>
        <w:rPr>
          <w:rFonts w:ascii="Bookman Old Style" w:hAnsi="Bookman Old Style"/>
          <w:noProof/>
          <w:color w:val="auto"/>
          <w:sz w:val="22"/>
          <w:szCs w:val="22"/>
        </w:rPr>
      </w:pPr>
      <w:hyperlink w:anchor="_Toc506559970" w:history="1">
        <w:r w:rsidRPr="006B1F8F">
          <w:rPr>
            <w:rStyle w:val="Hyperlink"/>
            <w:rFonts w:ascii="Bookman Old Style" w:hAnsi="Bookman Old Style"/>
            <w:noProof/>
            <w:color w:val="auto"/>
            <w:sz w:val="22"/>
            <w:szCs w:val="22"/>
            <w:lang w:eastAsia="en-US"/>
          </w:rPr>
          <w:t>Imposte dirette: altri interventi relativi alle imprese</w:t>
        </w:r>
        <w:r w:rsidRPr="006B1F8F">
          <w:rPr>
            <w:rFonts w:ascii="Bookman Old Style" w:hAnsi="Bookman Old Style"/>
            <w:noProof/>
            <w:webHidden/>
            <w:color w:val="auto"/>
            <w:sz w:val="22"/>
            <w:szCs w:val="22"/>
          </w:rPr>
          <w:tab/>
        </w:r>
        <w:r w:rsidRPr="006B1F8F">
          <w:rPr>
            <w:rFonts w:ascii="Bookman Old Style" w:hAnsi="Bookman Old Style"/>
            <w:noProof/>
            <w:webHidden/>
            <w:color w:val="auto"/>
            <w:sz w:val="22"/>
            <w:szCs w:val="22"/>
          </w:rPr>
          <w:fldChar w:fldCharType="begin"/>
        </w:r>
        <w:r w:rsidRPr="006B1F8F">
          <w:rPr>
            <w:rFonts w:ascii="Bookman Old Style" w:hAnsi="Bookman Old Style"/>
            <w:noProof/>
            <w:webHidden/>
            <w:color w:val="auto"/>
            <w:sz w:val="22"/>
            <w:szCs w:val="22"/>
          </w:rPr>
          <w:instrText xml:space="preserve"> PAGEREF _Toc506559970 \h </w:instrText>
        </w:r>
        <w:r w:rsidRPr="006B1F8F">
          <w:rPr>
            <w:rFonts w:ascii="Bookman Old Style" w:hAnsi="Bookman Old Style"/>
            <w:noProof/>
            <w:webHidden/>
            <w:color w:val="auto"/>
            <w:sz w:val="22"/>
            <w:szCs w:val="22"/>
          </w:rPr>
        </w:r>
        <w:r w:rsidRPr="006B1F8F">
          <w:rPr>
            <w:rFonts w:ascii="Bookman Old Style" w:hAnsi="Bookman Old Style"/>
            <w:noProof/>
            <w:webHidden/>
            <w:color w:val="auto"/>
            <w:sz w:val="22"/>
            <w:szCs w:val="22"/>
          </w:rPr>
          <w:fldChar w:fldCharType="separate"/>
        </w:r>
        <w:r w:rsidRPr="006B1F8F">
          <w:rPr>
            <w:rFonts w:ascii="Bookman Old Style" w:hAnsi="Bookman Old Style"/>
            <w:noProof/>
            <w:webHidden/>
            <w:color w:val="auto"/>
            <w:sz w:val="22"/>
            <w:szCs w:val="22"/>
          </w:rPr>
          <w:t>91</w:t>
        </w:r>
        <w:r w:rsidRPr="006B1F8F">
          <w:rPr>
            <w:rFonts w:ascii="Bookman Old Style" w:hAnsi="Bookman Old Style"/>
            <w:noProof/>
            <w:webHidden/>
            <w:color w:val="auto"/>
            <w:sz w:val="22"/>
            <w:szCs w:val="22"/>
          </w:rPr>
          <w:fldChar w:fldCharType="end"/>
        </w:r>
      </w:hyperlink>
    </w:p>
    <w:p w:rsidR="006649DC" w:rsidRPr="006B1F8F" w:rsidRDefault="006649DC">
      <w:pPr>
        <w:pStyle w:val="TOC1"/>
        <w:tabs>
          <w:tab w:val="right" w:leader="dot" w:pos="9628"/>
        </w:tabs>
        <w:rPr>
          <w:rFonts w:ascii="Bookman Old Style" w:hAnsi="Bookman Old Style"/>
          <w:noProof/>
          <w:color w:val="auto"/>
          <w:sz w:val="22"/>
          <w:szCs w:val="22"/>
        </w:rPr>
      </w:pPr>
      <w:hyperlink w:anchor="_Toc506559971" w:history="1">
        <w:r w:rsidRPr="006B1F8F">
          <w:rPr>
            <w:rStyle w:val="Hyperlink"/>
            <w:rFonts w:ascii="Bookman Old Style" w:hAnsi="Bookman Old Style" w:cs="Arial"/>
            <w:bCs/>
            <w:noProof/>
            <w:color w:val="auto"/>
            <w:sz w:val="22"/>
            <w:szCs w:val="22"/>
            <w:lang w:eastAsia="en-US"/>
          </w:rPr>
          <w:t xml:space="preserve">Imposte dirette: </w:t>
        </w:r>
        <w:r w:rsidRPr="006B1F8F">
          <w:rPr>
            <w:rStyle w:val="Hyperlink"/>
            <w:rFonts w:ascii="Bookman Old Style" w:hAnsi="Bookman Old Style" w:cs="Arial"/>
            <w:bCs/>
            <w:i/>
            <w:noProof/>
            <w:color w:val="auto"/>
            <w:sz w:val="22"/>
            <w:szCs w:val="22"/>
            <w:lang w:eastAsia="en-US"/>
          </w:rPr>
          <w:t>capital gain</w:t>
        </w:r>
        <w:r w:rsidRPr="006B1F8F">
          <w:rPr>
            <w:rStyle w:val="Hyperlink"/>
            <w:rFonts w:ascii="Bookman Old Style" w:hAnsi="Bookman Old Style" w:cs="Arial"/>
            <w:bCs/>
            <w:noProof/>
            <w:color w:val="auto"/>
            <w:sz w:val="22"/>
            <w:szCs w:val="22"/>
            <w:lang w:eastAsia="en-US"/>
          </w:rPr>
          <w:t xml:space="preserve"> e dividendi</w:t>
        </w:r>
        <w:r w:rsidRPr="006B1F8F">
          <w:rPr>
            <w:rFonts w:ascii="Bookman Old Style" w:hAnsi="Bookman Old Style"/>
            <w:noProof/>
            <w:webHidden/>
            <w:color w:val="auto"/>
            <w:sz w:val="22"/>
            <w:szCs w:val="22"/>
          </w:rPr>
          <w:tab/>
        </w:r>
        <w:r w:rsidRPr="006B1F8F">
          <w:rPr>
            <w:rFonts w:ascii="Bookman Old Style" w:hAnsi="Bookman Old Style"/>
            <w:noProof/>
            <w:webHidden/>
            <w:color w:val="auto"/>
            <w:sz w:val="22"/>
            <w:szCs w:val="22"/>
          </w:rPr>
          <w:fldChar w:fldCharType="begin"/>
        </w:r>
        <w:r w:rsidRPr="006B1F8F">
          <w:rPr>
            <w:rFonts w:ascii="Bookman Old Style" w:hAnsi="Bookman Old Style"/>
            <w:noProof/>
            <w:webHidden/>
            <w:color w:val="auto"/>
            <w:sz w:val="22"/>
            <w:szCs w:val="22"/>
          </w:rPr>
          <w:instrText xml:space="preserve"> PAGEREF _Toc506559971 \h </w:instrText>
        </w:r>
        <w:r w:rsidRPr="006B1F8F">
          <w:rPr>
            <w:rFonts w:ascii="Bookman Old Style" w:hAnsi="Bookman Old Style"/>
            <w:noProof/>
            <w:webHidden/>
            <w:color w:val="auto"/>
            <w:sz w:val="22"/>
            <w:szCs w:val="22"/>
          </w:rPr>
        </w:r>
        <w:r w:rsidRPr="006B1F8F">
          <w:rPr>
            <w:rFonts w:ascii="Bookman Old Style" w:hAnsi="Bookman Old Style"/>
            <w:noProof/>
            <w:webHidden/>
            <w:color w:val="auto"/>
            <w:sz w:val="22"/>
            <w:szCs w:val="22"/>
          </w:rPr>
          <w:fldChar w:fldCharType="separate"/>
        </w:r>
        <w:r w:rsidRPr="006B1F8F">
          <w:rPr>
            <w:rFonts w:ascii="Bookman Old Style" w:hAnsi="Bookman Old Style"/>
            <w:noProof/>
            <w:webHidden/>
            <w:color w:val="auto"/>
            <w:sz w:val="22"/>
            <w:szCs w:val="22"/>
          </w:rPr>
          <w:t>94</w:t>
        </w:r>
        <w:r w:rsidRPr="006B1F8F">
          <w:rPr>
            <w:rFonts w:ascii="Bookman Old Style" w:hAnsi="Bookman Old Style"/>
            <w:noProof/>
            <w:webHidden/>
            <w:color w:val="auto"/>
            <w:sz w:val="22"/>
            <w:szCs w:val="22"/>
          </w:rPr>
          <w:fldChar w:fldCharType="end"/>
        </w:r>
      </w:hyperlink>
    </w:p>
    <w:p w:rsidR="006649DC" w:rsidRPr="006B1F8F" w:rsidRDefault="006649DC">
      <w:pPr>
        <w:pStyle w:val="TOC1"/>
        <w:tabs>
          <w:tab w:val="right" w:leader="dot" w:pos="9628"/>
        </w:tabs>
        <w:rPr>
          <w:rFonts w:ascii="Bookman Old Style" w:hAnsi="Bookman Old Style"/>
          <w:noProof/>
          <w:color w:val="auto"/>
          <w:sz w:val="22"/>
          <w:szCs w:val="22"/>
        </w:rPr>
      </w:pPr>
      <w:hyperlink w:anchor="_Toc506559972" w:history="1">
        <w:r w:rsidRPr="006B1F8F">
          <w:rPr>
            <w:rStyle w:val="Hyperlink"/>
            <w:rFonts w:ascii="Bookman Old Style" w:hAnsi="Bookman Old Style"/>
            <w:noProof/>
            <w:color w:val="auto"/>
            <w:sz w:val="22"/>
            <w:szCs w:val="22"/>
            <w:lang w:eastAsia="en-US"/>
          </w:rPr>
          <w:t>Imposte dirette: bonus e detrazioni per i privati</w:t>
        </w:r>
        <w:r w:rsidRPr="006B1F8F">
          <w:rPr>
            <w:rFonts w:ascii="Bookman Old Style" w:hAnsi="Bookman Old Style"/>
            <w:noProof/>
            <w:webHidden/>
            <w:color w:val="auto"/>
            <w:sz w:val="22"/>
            <w:szCs w:val="22"/>
          </w:rPr>
          <w:tab/>
        </w:r>
        <w:r w:rsidRPr="006B1F8F">
          <w:rPr>
            <w:rFonts w:ascii="Bookman Old Style" w:hAnsi="Bookman Old Style"/>
            <w:noProof/>
            <w:webHidden/>
            <w:color w:val="auto"/>
            <w:sz w:val="22"/>
            <w:szCs w:val="22"/>
          </w:rPr>
          <w:fldChar w:fldCharType="begin"/>
        </w:r>
        <w:r w:rsidRPr="006B1F8F">
          <w:rPr>
            <w:rFonts w:ascii="Bookman Old Style" w:hAnsi="Bookman Old Style"/>
            <w:noProof/>
            <w:webHidden/>
            <w:color w:val="auto"/>
            <w:sz w:val="22"/>
            <w:szCs w:val="22"/>
          </w:rPr>
          <w:instrText xml:space="preserve"> PAGEREF _Toc506559972 \h </w:instrText>
        </w:r>
        <w:r w:rsidRPr="006B1F8F">
          <w:rPr>
            <w:rFonts w:ascii="Bookman Old Style" w:hAnsi="Bookman Old Style"/>
            <w:noProof/>
            <w:webHidden/>
            <w:color w:val="auto"/>
            <w:sz w:val="22"/>
            <w:szCs w:val="22"/>
          </w:rPr>
        </w:r>
        <w:r w:rsidRPr="006B1F8F">
          <w:rPr>
            <w:rFonts w:ascii="Bookman Old Style" w:hAnsi="Bookman Old Style"/>
            <w:noProof/>
            <w:webHidden/>
            <w:color w:val="auto"/>
            <w:sz w:val="22"/>
            <w:szCs w:val="22"/>
          </w:rPr>
          <w:fldChar w:fldCharType="separate"/>
        </w:r>
        <w:r w:rsidRPr="006B1F8F">
          <w:rPr>
            <w:rFonts w:ascii="Bookman Old Style" w:hAnsi="Bookman Old Style"/>
            <w:noProof/>
            <w:webHidden/>
            <w:color w:val="auto"/>
            <w:sz w:val="22"/>
            <w:szCs w:val="22"/>
          </w:rPr>
          <w:t>101</w:t>
        </w:r>
        <w:r w:rsidRPr="006B1F8F">
          <w:rPr>
            <w:rFonts w:ascii="Bookman Old Style" w:hAnsi="Bookman Old Style"/>
            <w:noProof/>
            <w:webHidden/>
            <w:color w:val="auto"/>
            <w:sz w:val="22"/>
            <w:szCs w:val="22"/>
          </w:rPr>
          <w:fldChar w:fldCharType="end"/>
        </w:r>
      </w:hyperlink>
    </w:p>
    <w:p w:rsidR="006649DC" w:rsidRPr="006B1F8F" w:rsidRDefault="006649DC">
      <w:pPr>
        <w:pStyle w:val="TOC1"/>
        <w:tabs>
          <w:tab w:val="right" w:leader="dot" w:pos="9628"/>
        </w:tabs>
        <w:rPr>
          <w:rFonts w:ascii="Bookman Old Style" w:hAnsi="Bookman Old Style"/>
          <w:noProof/>
          <w:color w:val="auto"/>
          <w:sz w:val="22"/>
          <w:szCs w:val="22"/>
        </w:rPr>
      </w:pPr>
      <w:hyperlink w:anchor="_Toc506559973" w:history="1">
        <w:r w:rsidRPr="006B1F8F">
          <w:rPr>
            <w:rStyle w:val="Hyperlink"/>
            <w:rFonts w:ascii="Bookman Old Style" w:hAnsi="Bookman Old Style"/>
            <w:noProof/>
            <w:color w:val="auto"/>
            <w:sz w:val="22"/>
            <w:szCs w:val="22"/>
            <w:lang w:eastAsia="en-US"/>
          </w:rPr>
          <w:t>Iva: aliquote</w:t>
        </w:r>
        <w:r w:rsidRPr="006B1F8F">
          <w:rPr>
            <w:rFonts w:ascii="Bookman Old Style" w:hAnsi="Bookman Old Style"/>
            <w:noProof/>
            <w:webHidden/>
            <w:color w:val="auto"/>
            <w:sz w:val="22"/>
            <w:szCs w:val="22"/>
          </w:rPr>
          <w:tab/>
        </w:r>
        <w:r w:rsidRPr="006B1F8F">
          <w:rPr>
            <w:rFonts w:ascii="Bookman Old Style" w:hAnsi="Bookman Old Style"/>
            <w:noProof/>
            <w:webHidden/>
            <w:color w:val="auto"/>
            <w:sz w:val="22"/>
            <w:szCs w:val="22"/>
          </w:rPr>
          <w:fldChar w:fldCharType="begin"/>
        </w:r>
        <w:r w:rsidRPr="006B1F8F">
          <w:rPr>
            <w:rFonts w:ascii="Bookman Old Style" w:hAnsi="Bookman Old Style"/>
            <w:noProof/>
            <w:webHidden/>
            <w:color w:val="auto"/>
            <w:sz w:val="22"/>
            <w:szCs w:val="22"/>
          </w:rPr>
          <w:instrText xml:space="preserve"> PAGEREF _Toc506559973 \h </w:instrText>
        </w:r>
        <w:r w:rsidRPr="006B1F8F">
          <w:rPr>
            <w:rFonts w:ascii="Bookman Old Style" w:hAnsi="Bookman Old Style"/>
            <w:noProof/>
            <w:webHidden/>
            <w:color w:val="auto"/>
            <w:sz w:val="22"/>
            <w:szCs w:val="22"/>
          </w:rPr>
        </w:r>
        <w:r w:rsidRPr="006B1F8F">
          <w:rPr>
            <w:rFonts w:ascii="Bookman Old Style" w:hAnsi="Bookman Old Style"/>
            <w:noProof/>
            <w:webHidden/>
            <w:color w:val="auto"/>
            <w:sz w:val="22"/>
            <w:szCs w:val="22"/>
          </w:rPr>
          <w:fldChar w:fldCharType="separate"/>
        </w:r>
        <w:r w:rsidRPr="006B1F8F">
          <w:rPr>
            <w:rFonts w:ascii="Bookman Old Style" w:hAnsi="Bookman Old Style"/>
            <w:noProof/>
            <w:webHidden/>
            <w:color w:val="auto"/>
            <w:sz w:val="22"/>
            <w:szCs w:val="22"/>
          </w:rPr>
          <w:t>106</w:t>
        </w:r>
        <w:r w:rsidRPr="006B1F8F">
          <w:rPr>
            <w:rFonts w:ascii="Bookman Old Style" w:hAnsi="Bookman Old Style"/>
            <w:noProof/>
            <w:webHidden/>
            <w:color w:val="auto"/>
            <w:sz w:val="22"/>
            <w:szCs w:val="22"/>
          </w:rPr>
          <w:fldChar w:fldCharType="end"/>
        </w:r>
      </w:hyperlink>
    </w:p>
    <w:p w:rsidR="006649DC" w:rsidRPr="00850708" w:rsidRDefault="006649DC" w:rsidP="002955FD">
      <w:pPr>
        <w:jc w:val="both"/>
        <w:rPr>
          <w:rFonts w:ascii="Bookman Old Style" w:hAnsi="Bookman Old Style"/>
          <w:b/>
          <w:bCs/>
          <w:sz w:val="22"/>
          <w:szCs w:val="22"/>
        </w:rPr>
      </w:pPr>
      <w:r w:rsidRPr="006B1F8F">
        <w:rPr>
          <w:rFonts w:ascii="Bookman Old Style" w:hAnsi="Bookman Old Style"/>
          <w:sz w:val="22"/>
          <w:szCs w:val="22"/>
        </w:rPr>
        <w:fldChar w:fldCharType="end"/>
      </w:r>
    </w:p>
    <w:p w:rsidR="006649DC" w:rsidRDefault="006649DC" w:rsidP="002955FD">
      <w:pPr>
        <w:jc w:val="both"/>
        <w:rPr>
          <w:rFonts w:ascii="Bookman Old Style" w:hAnsi="Bookman Old Style"/>
          <w:b/>
          <w:bCs/>
          <w:sz w:val="22"/>
          <w:szCs w:val="22"/>
        </w:rPr>
      </w:pPr>
    </w:p>
    <w:p w:rsidR="006649DC" w:rsidRDefault="006649DC" w:rsidP="002955FD">
      <w:pPr>
        <w:jc w:val="both"/>
        <w:rPr>
          <w:rFonts w:ascii="Bookman Old Style" w:hAnsi="Bookman Old Style"/>
          <w:b/>
          <w:bCs/>
          <w:sz w:val="22"/>
          <w:szCs w:val="22"/>
        </w:rPr>
      </w:pPr>
    </w:p>
    <w:p w:rsidR="006649DC" w:rsidRDefault="006649DC" w:rsidP="002955FD">
      <w:pPr>
        <w:jc w:val="both"/>
        <w:rPr>
          <w:rFonts w:ascii="Bookman Old Style" w:hAnsi="Bookman Old Style"/>
          <w:b/>
          <w:bCs/>
          <w:sz w:val="22"/>
          <w:szCs w:val="22"/>
        </w:rPr>
      </w:pPr>
    </w:p>
    <w:p w:rsidR="006649DC" w:rsidRDefault="006649DC" w:rsidP="002955FD">
      <w:pPr>
        <w:jc w:val="both"/>
        <w:rPr>
          <w:rFonts w:ascii="Bookman Old Style" w:hAnsi="Bookman Old Style"/>
          <w:b/>
          <w:bCs/>
          <w:sz w:val="22"/>
          <w:szCs w:val="22"/>
        </w:rPr>
      </w:pPr>
    </w:p>
    <w:p w:rsidR="006649DC" w:rsidRPr="002955FD" w:rsidRDefault="006649DC" w:rsidP="002955FD">
      <w:pPr>
        <w:jc w:val="both"/>
        <w:rPr>
          <w:rFonts w:ascii="Bookman Old Style" w:hAnsi="Bookman Old Style"/>
          <w:sz w:val="22"/>
          <w:szCs w:val="22"/>
        </w:rPr>
      </w:pPr>
    </w:p>
    <w:p w:rsidR="006649DC" w:rsidRPr="00D64D29" w:rsidRDefault="006649DC" w:rsidP="00782E9D">
      <w:pPr>
        <w:pStyle w:val="Heading1"/>
        <w:pBdr>
          <w:top w:val="single" w:sz="4" w:space="1" w:color="auto"/>
          <w:left w:val="single" w:sz="4" w:space="4" w:color="auto"/>
          <w:bottom w:val="single" w:sz="4" w:space="1" w:color="auto"/>
          <w:right w:val="single" w:sz="4" w:space="4" w:color="auto"/>
        </w:pBdr>
        <w:jc w:val="center"/>
        <w:rPr>
          <w:rFonts w:ascii="Bookman Old Style" w:hAnsi="Bookman Old Style"/>
          <w:color w:val="FF0000"/>
          <w:sz w:val="28"/>
          <w:szCs w:val="28"/>
        </w:rPr>
      </w:pPr>
      <w:bookmarkStart w:id="0" w:name="_GoBack"/>
      <w:bookmarkStart w:id="1" w:name="_Toc448485259"/>
      <w:bookmarkStart w:id="2" w:name="_Toc448485384"/>
      <w:bookmarkStart w:id="3" w:name="_Toc448485523"/>
      <w:bookmarkStart w:id="4" w:name="_Toc448485651"/>
      <w:bookmarkStart w:id="5" w:name="_Toc448485776"/>
      <w:bookmarkStart w:id="6" w:name="_Toc448485879"/>
      <w:bookmarkStart w:id="7" w:name="_Toc448494582"/>
      <w:bookmarkStart w:id="8" w:name="_Toc506559941"/>
      <w:bookmarkEnd w:id="0"/>
      <w:r w:rsidRPr="00D64D29">
        <w:rPr>
          <w:rFonts w:ascii="Bookman Old Style" w:hAnsi="Bookman Old Style"/>
          <w:color w:val="FF0000"/>
          <w:sz w:val="28"/>
          <w:szCs w:val="28"/>
        </w:rPr>
        <w:t>INDICI</w:t>
      </w:r>
      <w:bookmarkEnd w:id="1"/>
      <w:bookmarkEnd w:id="2"/>
      <w:bookmarkEnd w:id="3"/>
      <w:bookmarkEnd w:id="4"/>
      <w:bookmarkEnd w:id="5"/>
      <w:bookmarkEnd w:id="6"/>
      <w:bookmarkEnd w:id="7"/>
      <w:bookmarkEnd w:id="8"/>
    </w:p>
    <w:p w:rsidR="006649DC" w:rsidRDefault="006649DC" w:rsidP="002955FD">
      <w:pPr>
        <w:pStyle w:val="Heading2"/>
        <w:jc w:val="both"/>
        <w:rPr>
          <w:rFonts w:ascii="Bookman Old Style" w:hAnsi="Bookman Old Style"/>
          <w:sz w:val="22"/>
          <w:szCs w:val="22"/>
        </w:rPr>
      </w:pPr>
      <w:bookmarkStart w:id="9" w:name="_Toc448485260"/>
      <w:bookmarkStart w:id="10" w:name="_Toc448485385"/>
      <w:bookmarkStart w:id="11" w:name="_Toc448485524"/>
      <w:bookmarkStart w:id="12" w:name="_Toc448485652"/>
      <w:bookmarkStart w:id="13" w:name="_Toc448485777"/>
      <w:bookmarkStart w:id="14" w:name="_Toc448485880"/>
      <w:bookmarkStart w:id="15" w:name="_Toc448494583"/>
    </w:p>
    <w:p w:rsidR="006649DC" w:rsidRPr="002955FD" w:rsidRDefault="006649DC" w:rsidP="002955FD">
      <w:pPr>
        <w:pStyle w:val="Heading2"/>
        <w:jc w:val="both"/>
        <w:rPr>
          <w:rFonts w:ascii="Bookman Old Style" w:hAnsi="Bookman Old Style"/>
          <w:sz w:val="22"/>
          <w:szCs w:val="22"/>
        </w:rPr>
      </w:pPr>
      <w:bookmarkStart w:id="16" w:name="_Toc506559942"/>
      <w:r w:rsidRPr="002955FD">
        <w:rPr>
          <w:rFonts w:ascii="Bookman Old Style" w:hAnsi="Bookman Old Style"/>
          <w:sz w:val="22"/>
          <w:szCs w:val="22"/>
        </w:rPr>
        <w:t>Indice dei prezzi per le rivalutazioni monetarie</w:t>
      </w:r>
      <w:bookmarkEnd w:id="9"/>
      <w:bookmarkEnd w:id="10"/>
      <w:bookmarkEnd w:id="11"/>
      <w:bookmarkEnd w:id="12"/>
      <w:bookmarkEnd w:id="13"/>
      <w:bookmarkEnd w:id="14"/>
      <w:bookmarkEnd w:id="15"/>
      <w:bookmarkEnd w:id="16"/>
    </w:p>
    <w:p w:rsidR="006649DC" w:rsidRPr="002955FD" w:rsidRDefault="006649DC" w:rsidP="002955FD">
      <w:pPr>
        <w:pStyle w:val="NormalWeb"/>
        <w:spacing w:before="0" w:beforeAutospacing="0" w:after="0" w:afterAutospacing="0"/>
        <w:jc w:val="both"/>
        <w:rPr>
          <w:rFonts w:ascii="Bookman Old Style" w:hAnsi="Bookman Old Style"/>
          <w:sz w:val="22"/>
          <w:szCs w:val="22"/>
        </w:rPr>
      </w:pPr>
    </w:p>
    <w:p w:rsidR="006649DC" w:rsidRDefault="006649DC" w:rsidP="002955FD">
      <w:pPr>
        <w:jc w:val="both"/>
        <w:rPr>
          <w:rFonts w:ascii="Bookman Old Style" w:hAnsi="Bookman Old Style" w:cs="Arial"/>
          <w:color w:val="333333"/>
          <w:sz w:val="22"/>
          <w:szCs w:val="22"/>
        </w:rPr>
      </w:pPr>
    </w:p>
    <w:p w:rsidR="006649DC" w:rsidRDefault="006649DC" w:rsidP="002955FD">
      <w:pPr>
        <w:jc w:val="both"/>
        <w:rPr>
          <w:rFonts w:ascii="Bookman Old Style" w:hAnsi="Bookman Old Style" w:cs="Arial"/>
          <w:color w:val="333333"/>
          <w:sz w:val="22"/>
          <w:szCs w:val="22"/>
        </w:rPr>
      </w:pPr>
    </w:p>
    <w:p w:rsidR="006649DC" w:rsidRDefault="006649DC" w:rsidP="002955FD">
      <w:pPr>
        <w:jc w:val="both"/>
        <w:rPr>
          <w:rFonts w:ascii="Bookman Old Style" w:hAnsi="Bookman Old Style" w:cs="Arial"/>
          <w:b/>
          <w:bCs/>
          <w:color w:val="333333"/>
          <w:sz w:val="22"/>
          <w:szCs w:val="22"/>
        </w:rPr>
      </w:pPr>
      <w:r w:rsidRPr="002955FD">
        <w:rPr>
          <w:rFonts w:ascii="Bookman Old Style" w:hAnsi="Bookman Old Style" w:cs="Arial"/>
          <w:color w:val="333333"/>
          <w:sz w:val="22"/>
          <w:szCs w:val="22"/>
        </w:rPr>
        <w:t xml:space="preserve">Periodo di riferimento: </w:t>
      </w:r>
      <w:r>
        <w:rPr>
          <w:rFonts w:ascii="Bookman Old Style" w:hAnsi="Bookman Old Style" w:cs="Arial"/>
          <w:b/>
          <w:bCs/>
          <w:color w:val="333333"/>
          <w:sz w:val="22"/>
          <w:szCs w:val="22"/>
        </w:rPr>
        <w:t>DICEMBRE</w:t>
      </w:r>
      <w:r w:rsidRPr="002955FD">
        <w:rPr>
          <w:rFonts w:ascii="Bookman Old Style" w:hAnsi="Bookman Old Style" w:cs="Arial"/>
          <w:b/>
          <w:bCs/>
          <w:color w:val="333333"/>
          <w:sz w:val="22"/>
          <w:szCs w:val="22"/>
        </w:rPr>
        <w:t xml:space="preserve"> 201</w:t>
      </w:r>
      <w:r>
        <w:rPr>
          <w:rFonts w:ascii="Bookman Old Style" w:hAnsi="Bookman Old Style" w:cs="Arial"/>
          <w:b/>
          <w:bCs/>
          <w:color w:val="333333"/>
          <w:sz w:val="22"/>
          <w:szCs w:val="22"/>
        </w:rPr>
        <w:t>7</w:t>
      </w:r>
    </w:p>
    <w:p w:rsidR="006649DC" w:rsidRPr="002955FD" w:rsidRDefault="006649DC" w:rsidP="002955FD">
      <w:pPr>
        <w:jc w:val="both"/>
        <w:rPr>
          <w:rFonts w:ascii="Bookman Old Style" w:hAnsi="Bookman Old Style" w:cs="Arial"/>
          <w:color w:val="333333"/>
          <w:sz w:val="22"/>
          <w:szCs w:val="22"/>
        </w:rPr>
      </w:pPr>
      <w:r w:rsidRPr="002955FD">
        <w:rPr>
          <w:rFonts w:ascii="Bookman Old Style" w:hAnsi="Bookman Old Style" w:cs="Arial"/>
          <w:color w:val="333333"/>
          <w:sz w:val="22"/>
          <w:szCs w:val="22"/>
        </w:rPr>
        <w:t>Aggiornato il 1</w:t>
      </w:r>
      <w:r>
        <w:rPr>
          <w:rFonts w:ascii="Bookman Old Style" w:hAnsi="Bookman Old Style" w:cs="Arial"/>
          <w:color w:val="333333"/>
          <w:sz w:val="22"/>
          <w:szCs w:val="22"/>
        </w:rPr>
        <w:t xml:space="preserve">6 gennaio </w:t>
      </w:r>
      <w:r w:rsidRPr="002955FD">
        <w:rPr>
          <w:rFonts w:ascii="Bookman Old Style" w:hAnsi="Bookman Old Style" w:cs="Arial"/>
          <w:color w:val="333333"/>
          <w:sz w:val="22"/>
          <w:szCs w:val="22"/>
        </w:rPr>
        <w:t>201</w:t>
      </w:r>
      <w:r>
        <w:rPr>
          <w:rFonts w:ascii="Bookman Old Style" w:hAnsi="Bookman Old Style" w:cs="Arial"/>
          <w:color w:val="333333"/>
          <w:sz w:val="22"/>
          <w:szCs w:val="22"/>
        </w:rPr>
        <w:t>8</w:t>
      </w:r>
    </w:p>
    <w:p w:rsidR="006649DC" w:rsidRPr="002955FD" w:rsidRDefault="006649DC" w:rsidP="002955FD">
      <w:pPr>
        <w:jc w:val="both"/>
        <w:rPr>
          <w:rFonts w:ascii="Bookman Old Style" w:hAnsi="Bookman Old Style" w:cs="Arial"/>
          <w:color w:val="333333"/>
          <w:sz w:val="22"/>
          <w:szCs w:val="22"/>
        </w:rPr>
      </w:pPr>
      <w:r w:rsidRPr="00DE298F">
        <w:rPr>
          <w:rFonts w:ascii="Bookman Old Style" w:hAnsi="Bookman Old Style" w:cs="Arial"/>
          <w:color w:val="333333"/>
          <w:sz w:val="22"/>
          <w:szCs w:val="22"/>
        </w:rPr>
        <w:pict>
          <v:rect id="_x0000_i1025" style="width:0;height:.75pt" o:hralign="center" o:hrstd="t" o:hrnoshade="t" o:hr="t" fillcolor="#a0a0a0" stroked="f"/>
        </w:pict>
      </w:r>
    </w:p>
    <w:p w:rsidR="006649DC" w:rsidRPr="002955FD" w:rsidRDefault="006649DC" w:rsidP="002955FD">
      <w:pPr>
        <w:jc w:val="both"/>
        <w:rPr>
          <w:rFonts w:ascii="Bookman Old Style" w:hAnsi="Bookman Old Style" w:cs="Arial"/>
          <w:color w:val="333333"/>
          <w:sz w:val="22"/>
          <w:szCs w:val="22"/>
          <w:highlight w:val="yellow"/>
        </w:rPr>
      </w:pPr>
    </w:p>
    <w:p w:rsidR="006649DC" w:rsidRPr="002955FD" w:rsidRDefault="006649DC" w:rsidP="002955FD">
      <w:pPr>
        <w:jc w:val="both"/>
        <w:rPr>
          <w:rFonts w:ascii="Bookman Old Style" w:hAnsi="Bookman Old Style"/>
          <w:sz w:val="22"/>
          <w:szCs w:val="22"/>
        </w:rPr>
      </w:pPr>
      <w:r w:rsidRPr="002955FD">
        <w:rPr>
          <w:rFonts w:ascii="Bookman Old Style" w:hAnsi="Bookman Old Style"/>
          <w:sz w:val="22"/>
          <w:szCs w:val="22"/>
        </w:rPr>
        <w:t>Indice dei prezzi al consumo FOI al netto dei tabacchi</w:t>
      </w:r>
    </w:p>
    <w:tbl>
      <w:tblPr>
        <w:tblW w:w="0" w:type="auto"/>
        <w:tblCellSpacing w:w="7" w:type="dxa"/>
        <w:tblInd w:w="1"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8735"/>
        <w:gridCol w:w="1080"/>
      </w:tblGrid>
      <w:tr w:rsidR="006649DC" w:rsidRPr="002955FD" w:rsidTr="000545F2">
        <w:trPr>
          <w:tblCellSpacing w:w="7" w:type="dxa"/>
        </w:trPr>
        <w:tc>
          <w:tcPr>
            <w:tcW w:w="8714" w:type="dxa"/>
            <w:tcBorders>
              <w:top w:val="outset" w:sz="6" w:space="0" w:color="auto"/>
              <w:bottom w:val="outset" w:sz="6" w:space="0" w:color="auto"/>
              <w:right w:val="outset" w:sz="6" w:space="0" w:color="auto"/>
            </w:tcBorders>
            <w:vAlign w:val="center"/>
          </w:tcPr>
          <w:p w:rsidR="006649DC" w:rsidRPr="002955FD" w:rsidRDefault="006649DC" w:rsidP="002955FD">
            <w:pPr>
              <w:jc w:val="both"/>
              <w:rPr>
                <w:rFonts w:ascii="Bookman Old Style" w:hAnsi="Bookman Old Style"/>
                <w:sz w:val="22"/>
                <w:szCs w:val="22"/>
              </w:rPr>
            </w:pPr>
            <w:r w:rsidRPr="002955FD">
              <w:rPr>
                <w:rFonts w:ascii="Bookman Old Style" w:hAnsi="Bookman Old Style"/>
                <w:sz w:val="22"/>
                <w:szCs w:val="22"/>
              </w:rPr>
              <w:t>Indice generale</w:t>
            </w:r>
          </w:p>
        </w:tc>
        <w:tc>
          <w:tcPr>
            <w:tcW w:w="1059" w:type="dxa"/>
            <w:tcBorders>
              <w:top w:val="outset" w:sz="6" w:space="0" w:color="auto"/>
              <w:left w:val="outset" w:sz="6" w:space="0" w:color="auto"/>
              <w:bottom w:val="outset" w:sz="6" w:space="0" w:color="auto"/>
            </w:tcBorders>
            <w:vAlign w:val="center"/>
          </w:tcPr>
          <w:p w:rsidR="006649DC" w:rsidRPr="002955FD" w:rsidRDefault="006649DC" w:rsidP="0032605C">
            <w:pPr>
              <w:jc w:val="center"/>
              <w:rPr>
                <w:rFonts w:ascii="Bookman Old Style" w:hAnsi="Bookman Old Style"/>
                <w:sz w:val="22"/>
                <w:szCs w:val="22"/>
              </w:rPr>
            </w:pPr>
            <w:r w:rsidRPr="002955FD">
              <w:rPr>
                <w:rFonts w:ascii="Bookman Old Style" w:hAnsi="Bookman Old Style"/>
                <w:b/>
                <w:bCs/>
                <w:sz w:val="22"/>
                <w:szCs w:val="22"/>
              </w:rPr>
              <w:t>10</w:t>
            </w:r>
            <w:r>
              <w:rPr>
                <w:rFonts w:ascii="Bookman Old Style" w:hAnsi="Bookman Old Style"/>
                <w:b/>
                <w:bCs/>
                <w:sz w:val="22"/>
                <w:szCs w:val="22"/>
              </w:rPr>
              <w:t>1,1</w:t>
            </w:r>
          </w:p>
        </w:tc>
      </w:tr>
      <w:tr w:rsidR="006649DC" w:rsidRPr="002955FD" w:rsidTr="00F17834">
        <w:trPr>
          <w:tblCellSpacing w:w="7" w:type="dxa"/>
        </w:trPr>
        <w:tc>
          <w:tcPr>
            <w:tcW w:w="8714" w:type="dxa"/>
            <w:tcBorders>
              <w:top w:val="outset" w:sz="6" w:space="0" w:color="auto"/>
              <w:bottom w:val="outset" w:sz="6" w:space="0" w:color="auto"/>
              <w:right w:val="outset" w:sz="6" w:space="0" w:color="auto"/>
            </w:tcBorders>
            <w:vAlign w:val="center"/>
          </w:tcPr>
          <w:p w:rsidR="006649DC" w:rsidRPr="002955FD" w:rsidRDefault="006649DC" w:rsidP="002955FD">
            <w:pPr>
              <w:jc w:val="both"/>
              <w:rPr>
                <w:rFonts w:ascii="Bookman Old Style" w:hAnsi="Bookman Old Style"/>
                <w:sz w:val="22"/>
                <w:szCs w:val="22"/>
              </w:rPr>
            </w:pPr>
            <w:r w:rsidRPr="002955FD">
              <w:rPr>
                <w:rFonts w:ascii="Bookman Old Style" w:hAnsi="Bookman Old Style"/>
                <w:sz w:val="22"/>
                <w:szCs w:val="22"/>
              </w:rPr>
              <w:t>Variazione percentuale rispetto al mese precedente</w:t>
            </w:r>
          </w:p>
        </w:tc>
        <w:tc>
          <w:tcPr>
            <w:tcW w:w="1059" w:type="dxa"/>
            <w:tcBorders>
              <w:top w:val="outset" w:sz="6" w:space="0" w:color="auto"/>
              <w:left w:val="outset" w:sz="6" w:space="0" w:color="auto"/>
              <w:bottom w:val="outset" w:sz="6" w:space="0" w:color="auto"/>
            </w:tcBorders>
            <w:vAlign w:val="center"/>
          </w:tcPr>
          <w:p w:rsidR="006649DC" w:rsidRPr="002955FD" w:rsidRDefault="006649DC" w:rsidP="0032605C">
            <w:pPr>
              <w:jc w:val="center"/>
              <w:rPr>
                <w:rFonts w:ascii="Bookman Old Style" w:hAnsi="Bookman Old Style"/>
                <w:color w:val="FF0000"/>
                <w:sz w:val="22"/>
                <w:szCs w:val="22"/>
              </w:rPr>
            </w:pPr>
            <w:r>
              <w:rPr>
                <w:rFonts w:ascii="Bookman Old Style" w:hAnsi="Bookman Old Style"/>
                <w:b/>
                <w:bCs/>
                <w:sz w:val="22"/>
                <w:szCs w:val="22"/>
              </w:rPr>
              <w:t xml:space="preserve">+ </w:t>
            </w:r>
            <w:r w:rsidRPr="002955FD">
              <w:rPr>
                <w:rFonts w:ascii="Bookman Old Style" w:hAnsi="Bookman Old Style"/>
                <w:b/>
                <w:bCs/>
                <w:sz w:val="22"/>
                <w:szCs w:val="22"/>
              </w:rPr>
              <w:t>0,</w:t>
            </w:r>
            <w:r>
              <w:rPr>
                <w:rFonts w:ascii="Bookman Old Style" w:hAnsi="Bookman Old Style"/>
                <w:b/>
                <w:bCs/>
                <w:sz w:val="22"/>
                <w:szCs w:val="22"/>
              </w:rPr>
              <w:t>3</w:t>
            </w:r>
          </w:p>
        </w:tc>
      </w:tr>
      <w:tr w:rsidR="006649DC" w:rsidRPr="002955FD" w:rsidTr="000545F2">
        <w:trPr>
          <w:tblCellSpacing w:w="7" w:type="dxa"/>
        </w:trPr>
        <w:tc>
          <w:tcPr>
            <w:tcW w:w="8714" w:type="dxa"/>
            <w:tcBorders>
              <w:top w:val="outset" w:sz="6" w:space="0" w:color="auto"/>
              <w:bottom w:val="outset" w:sz="6" w:space="0" w:color="auto"/>
              <w:right w:val="outset" w:sz="6" w:space="0" w:color="auto"/>
            </w:tcBorders>
            <w:vAlign w:val="center"/>
          </w:tcPr>
          <w:p w:rsidR="006649DC" w:rsidRPr="002955FD" w:rsidRDefault="006649DC" w:rsidP="002955FD">
            <w:pPr>
              <w:jc w:val="both"/>
              <w:rPr>
                <w:rFonts w:ascii="Bookman Old Style" w:hAnsi="Bookman Old Style"/>
                <w:sz w:val="22"/>
                <w:szCs w:val="22"/>
              </w:rPr>
            </w:pPr>
            <w:r w:rsidRPr="002955FD">
              <w:rPr>
                <w:rFonts w:ascii="Bookman Old Style" w:hAnsi="Bookman Old Style"/>
                <w:sz w:val="22"/>
                <w:szCs w:val="22"/>
              </w:rPr>
              <w:t>Variazione percentuale rispetto allo stesso mese dell'anno precedente</w:t>
            </w:r>
          </w:p>
        </w:tc>
        <w:tc>
          <w:tcPr>
            <w:tcW w:w="1059" w:type="dxa"/>
            <w:tcBorders>
              <w:top w:val="outset" w:sz="6" w:space="0" w:color="auto"/>
              <w:left w:val="outset" w:sz="6" w:space="0" w:color="auto"/>
              <w:bottom w:val="outset" w:sz="6" w:space="0" w:color="auto"/>
            </w:tcBorders>
            <w:vAlign w:val="center"/>
          </w:tcPr>
          <w:p w:rsidR="006649DC" w:rsidRPr="002955FD" w:rsidRDefault="006649DC" w:rsidP="0032605C">
            <w:pPr>
              <w:jc w:val="center"/>
              <w:rPr>
                <w:rFonts w:ascii="Bookman Old Style" w:hAnsi="Bookman Old Style"/>
                <w:sz w:val="22"/>
                <w:szCs w:val="22"/>
              </w:rPr>
            </w:pPr>
            <w:r>
              <w:rPr>
                <w:rFonts w:ascii="Bookman Old Style" w:hAnsi="Bookman Old Style"/>
                <w:b/>
                <w:bCs/>
                <w:sz w:val="22"/>
                <w:szCs w:val="22"/>
              </w:rPr>
              <w:t>+ 0</w:t>
            </w:r>
            <w:r w:rsidRPr="002955FD">
              <w:rPr>
                <w:rFonts w:ascii="Bookman Old Style" w:hAnsi="Bookman Old Style"/>
                <w:b/>
                <w:bCs/>
                <w:sz w:val="22"/>
                <w:szCs w:val="22"/>
              </w:rPr>
              <w:t>,</w:t>
            </w:r>
            <w:r>
              <w:rPr>
                <w:rFonts w:ascii="Bookman Old Style" w:hAnsi="Bookman Old Style"/>
                <w:b/>
                <w:bCs/>
                <w:sz w:val="22"/>
                <w:szCs w:val="22"/>
              </w:rPr>
              <w:t>8</w:t>
            </w:r>
          </w:p>
        </w:tc>
      </w:tr>
      <w:tr w:rsidR="006649DC" w:rsidRPr="002955FD" w:rsidTr="000545F2">
        <w:trPr>
          <w:tblCellSpacing w:w="7" w:type="dxa"/>
        </w:trPr>
        <w:tc>
          <w:tcPr>
            <w:tcW w:w="8714" w:type="dxa"/>
            <w:tcBorders>
              <w:top w:val="outset" w:sz="6" w:space="0" w:color="auto"/>
              <w:bottom w:val="outset" w:sz="6" w:space="0" w:color="auto"/>
              <w:right w:val="outset" w:sz="6" w:space="0" w:color="auto"/>
            </w:tcBorders>
            <w:vAlign w:val="center"/>
          </w:tcPr>
          <w:p w:rsidR="006649DC" w:rsidRPr="002955FD" w:rsidRDefault="006649DC" w:rsidP="002955FD">
            <w:pPr>
              <w:jc w:val="both"/>
              <w:rPr>
                <w:rFonts w:ascii="Bookman Old Style" w:hAnsi="Bookman Old Style"/>
                <w:sz w:val="22"/>
                <w:szCs w:val="22"/>
              </w:rPr>
            </w:pPr>
            <w:r w:rsidRPr="002955FD">
              <w:rPr>
                <w:rFonts w:ascii="Bookman Old Style" w:hAnsi="Bookman Old Style"/>
                <w:sz w:val="22"/>
                <w:szCs w:val="22"/>
              </w:rPr>
              <w:t>Variazione percentuale rispetto allo stesso mese di due anni precedenti</w:t>
            </w:r>
          </w:p>
        </w:tc>
        <w:tc>
          <w:tcPr>
            <w:tcW w:w="1059" w:type="dxa"/>
            <w:tcBorders>
              <w:top w:val="outset" w:sz="6" w:space="0" w:color="auto"/>
              <w:left w:val="outset" w:sz="6" w:space="0" w:color="auto"/>
              <w:bottom w:val="outset" w:sz="6" w:space="0" w:color="auto"/>
            </w:tcBorders>
            <w:vAlign w:val="center"/>
          </w:tcPr>
          <w:p w:rsidR="006649DC" w:rsidRPr="00090FD7" w:rsidRDefault="006649DC" w:rsidP="0032605C">
            <w:pPr>
              <w:jc w:val="center"/>
              <w:rPr>
                <w:rFonts w:ascii="Bookman Old Style" w:hAnsi="Bookman Old Style"/>
                <w:b/>
                <w:bCs/>
                <w:sz w:val="22"/>
                <w:szCs w:val="22"/>
              </w:rPr>
            </w:pPr>
            <w:r>
              <w:rPr>
                <w:rFonts w:ascii="Bookman Old Style" w:hAnsi="Bookman Old Style"/>
                <w:b/>
                <w:bCs/>
                <w:sz w:val="22"/>
                <w:szCs w:val="22"/>
              </w:rPr>
              <w:t>+ 1</w:t>
            </w:r>
            <w:r w:rsidRPr="00090FD7">
              <w:rPr>
                <w:rFonts w:ascii="Bookman Old Style" w:hAnsi="Bookman Old Style"/>
                <w:b/>
                <w:bCs/>
                <w:sz w:val="22"/>
                <w:szCs w:val="22"/>
              </w:rPr>
              <w:t>,</w:t>
            </w:r>
            <w:r>
              <w:rPr>
                <w:rFonts w:ascii="Bookman Old Style" w:hAnsi="Bookman Old Style"/>
                <w:b/>
                <w:bCs/>
                <w:sz w:val="22"/>
                <w:szCs w:val="22"/>
              </w:rPr>
              <w:t>2</w:t>
            </w:r>
          </w:p>
        </w:tc>
      </w:tr>
    </w:tbl>
    <w:p w:rsidR="006649DC" w:rsidRPr="002955FD" w:rsidRDefault="006649DC" w:rsidP="002955FD">
      <w:pPr>
        <w:pStyle w:val="NormalWeb"/>
        <w:spacing w:before="0" w:beforeAutospacing="0" w:after="0" w:afterAutospacing="0"/>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r w:rsidRPr="002955FD">
        <w:rPr>
          <w:rFonts w:ascii="Bookman Old Style" w:hAnsi="Bookman Old Style"/>
          <w:sz w:val="22"/>
          <w:szCs w:val="22"/>
        </w:rPr>
        <w:t xml:space="preserve">Per adeguare periodicamente i valori monetari, ad esempio gli affitti o gli assegni dovuti al coniuge separato, si utilizza l'indice dei prezzi al consumo per le famiglie di operai e impiegati (FOI) al netto dei tabacchi. </w:t>
      </w:r>
    </w:p>
    <w:p w:rsidR="006649DC" w:rsidRPr="002955FD" w:rsidRDefault="006649DC" w:rsidP="002955FD">
      <w:pPr>
        <w:jc w:val="both"/>
        <w:rPr>
          <w:rFonts w:ascii="Bookman Old Style" w:hAnsi="Bookman Old Style"/>
          <w:sz w:val="22"/>
          <w:szCs w:val="22"/>
        </w:rPr>
      </w:pPr>
      <w:r w:rsidRPr="002955FD">
        <w:rPr>
          <w:rFonts w:ascii="Bookman Old Style" w:hAnsi="Bookman Old Style"/>
          <w:sz w:val="22"/>
          <w:szCs w:val="22"/>
        </w:rPr>
        <w:t>Il FOI si riferisce ai consumi dell'insieme delle famiglie che fanno capo a un lavoratore dipendente operaio o impiegato.</w:t>
      </w:r>
    </w:p>
    <w:p w:rsidR="006649DC" w:rsidRPr="002955FD" w:rsidRDefault="006649DC" w:rsidP="002955FD">
      <w:pPr>
        <w:jc w:val="both"/>
        <w:rPr>
          <w:rFonts w:ascii="Bookman Old Style" w:hAnsi="Bookman Old Style"/>
          <w:sz w:val="22"/>
          <w:szCs w:val="22"/>
        </w:rPr>
      </w:pPr>
      <w:r w:rsidRPr="002955FD">
        <w:rPr>
          <w:rFonts w:ascii="Bookman Old Style" w:hAnsi="Bookman Old Style"/>
          <w:sz w:val="22"/>
          <w:szCs w:val="22"/>
        </w:rPr>
        <w:t>Tale indice si pubblica sulla Gazzetta Ufficiale ai sensi dell'art. 81 della legge 27 luglio 1978, n. 392.</w:t>
      </w:r>
    </w:p>
    <w:p w:rsidR="006649DC" w:rsidRPr="002955FD" w:rsidRDefault="006649DC" w:rsidP="002955FD">
      <w:pPr>
        <w:jc w:val="both"/>
        <w:rPr>
          <w:rFonts w:ascii="Bookman Old Style" w:hAnsi="Bookman Old Style"/>
          <w:color w:val="333333"/>
          <w:sz w:val="22"/>
          <w:szCs w:val="22"/>
        </w:rPr>
      </w:pPr>
    </w:p>
    <w:p w:rsidR="006649DC" w:rsidRPr="002955FD" w:rsidRDefault="006649DC" w:rsidP="002955FD">
      <w:pPr>
        <w:jc w:val="both"/>
        <w:rPr>
          <w:rFonts w:ascii="Bookman Old Style" w:hAnsi="Bookman Old Style"/>
          <w:color w:val="333333"/>
          <w:sz w:val="22"/>
          <w:szCs w:val="22"/>
          <w:u w:val="single"/>
        </w:rPr>
      </w:pPr>
      <w:r w:rsidRPr="002955FD">
        <w:rPr>
          <w:rFonts w:ascii="Bookman Old Style" w:hAnsi="Bookman Old Style"/>
          <w:color w:val="333333"/>
          <w:sz w:val="22"/>
          <w:szCs w:val="22"/>
          <w:u w:val="single"/>
        </w:rPr>
        <w:t>Aggiornamento canoni di locazione</w:t>
      </w:r>
    </w:p>
    <w:p w:rsidR="006649DC" w:rsidRPr="002955FD" w:rsidRDefault="006649DC" w:rsidP="002955FD">
      <w:pPr>
        <w:jc w:val="both"/>
        <w:rPr>
          <w:rFonts w:ascii="Bookman Old Style" w:hAnsi="Bookman Old Style"/>
          <w:color w:val="333333"/>
          <w:sz w:val="22"/>
          <w:szCs w:val="22"/>
        </w:rPr>
      </w:pPr>
      <w:r w:rsidRPr="002955FD">
        <w:rPr>
          <w:rFonts w:ascii="Bookman Old Style" w:hAnsi="Bookman Old Style"/>
          <w:color w:val="333333"/>
          <w:sz w:val="22"/>
          <w:szCs w:val="22"/>
        </w:rPr>
        <w:t>Occorre distinguere le regole relative ad immobili ad uso abitativo da quello ad uso diverso.</w:t>
      </w:r>
    </w:p>
    <w:p w:rsidR="006649DC" w:rsidRPr="002955FD" w:rsidRDefault="006649DC" w:rsidP="002955FD">
      <w:pPr>
        <w:jc w:val="both"/>
        <w:rPr>
          <w:rFonts w:ascii="Bookman Old Style" w:hAnsi="Bookman Old Style"/>
          <w:b/>
          <w:sz w:val="22"/>
          <w:szCs w:val="22"/>
        </w:rPr>
      </w:pPr>
      <w:r w:rsidRPr="002955FD">
        <w:rPr>
          <w:rStyle w:val="Strong"/>
          <w:rFonts w:ascii="Bookman Old Style" w:hAnsi="Bookman Old Style"/>
          <w:b w:val="0"/>
          <w:bCs/>
          <w:sz w:val="22"/>
          <w:szCs w:val="22"/>
        </w:rPr>
        <w:t>1) Immobili adibiti ad uso abitazione</w:t>
      </w:r>
    </w:p>
    <w:p w:rsidR="006649DC" w:rsidRPr="002955FD" w:rsidRDefault="006649DC" w:rsidP="002955FD">
      <w:pPr>
        <w:jc w:val="both"/>
        <w:rPr>
          <w:rFonts w:ascii="Bookman Old Style" w:hAnsi="Bookman Old Style"/>
          <w:sz w:val="22"/>
          <w:szCs w:val="22"/>
        </w:rPr>
      </w:pPr>
      <w:r w:rsidRPr="002955FD">
        <w:rPr>
          <w:rFonts w:ascii="Bookman Old Style" w:hAnsi="Bookman Old Style"/>
          <w:sz w:val="22"/>
          <w:szCs w:val="22"/>
        </w:rPr>
        <w:t>La Legge 392/1978 prevedeva, all'articolo 24, che il canone di locazione per gli immobili adibiti ad uso abitazione poteva essere aggiornato annualmente sulla base della variazione, accertata dall'ISTAT, dell'indice dei prezzi al consumo per le famiglie di operai ed impiegati. La variazione era limitata al 75% della predetta variazione.</w:t>
      </w:r>
    </w:p>
    <w:p w:rsidR="006649DC" w:rsidRPr="002955FD" w:rsidRDefault="006649DC" w:rsidP="002955FD">
      <w:pPr>
        <w:jc w:val="both"/>
        <w:rPr>
          <w:rFonts w:ascii="Bookman Old Style" w:hAnsi="Bookman Old Style"/>
          <w:sz w:val="22"/>
          <w:szCs w:val="22"/>
        </w:rPr>
      </w:pPr>
      <w:r w:rsidRPr="002955FD">
        <w:rPr>
          <w:rFonts w:ascii="Bookman Old Style" w:hAnsi="Bookman Old Style"/>
          <w:sz w:val="22"/>
          <w:szCs w:val="22"/>
        </w:rPr>
        <w:t>La successiva L. 431/1998 ha, con l'articolo 14, abrogato tale disposizione. Ne consegue che, l'aggiornamento del canone può essere pattuito dalle parti anche in misura pari al 100% della variazione dell'indice accertata dall'ISTAT.</w:t>
      </w:r>
    </w:p>
    <w:p w:rsidR="006649DC" w:rsidRPr="002955FD" w:rsidRDefault="006649DC" w:rsidP="002955FD">
      <w:pPr>
        <w:jc w:val="both"/>
        <w:rPr>
          <w:rFonts w:ascii="Bookman Old Style" w:hAnsi="Bookman Old Style"/>
          <w:sz w:val="22"/>
          <w:szCs w:val="22"/>
        </w:rPr>
      </w:pPr>
      <w:r w:rsidRPr="002955FD">
        <w:rPr>
          <w:rFonts w:ascii="Bookman Old Style" w:hAnsi="Bookman Old Style"/>
          <w:sz w:val="22"/>
          <w:szCs w:val="22"/>
        </w:rPr>
        <w:t> </w:t>
      </w:r>
    </w:p>
    <w:p w:rsidR="006649DC" w:rsidRPr="002955FD" w:rsidRDefault="006649DC" w:rsidP="002955FD">
      <w:pPr>
        <w:jc w:val="both"/>
        <w:rPr>
          <w:rStyle w:val="Strong"/>
          <w:rFonts w:ascii="Bookman Old Style" w:hAnsi="Bookman Old Style"/>
          <w:bCs/>
          <w:sz w:val="22"/>
          <w:szCs w:val="22"/>
        </w:rPr>
      </w:pPr>
      <w:r w:rsidRPr="002955FD">
        <w:rPr>
          <w:rStyle w:val="Strong"/>
          <w:rFonts w:ascii="Bookman Old Style" w:hAnsi="Bookman Old Style"/>
          <w:b w:val="0"/>
          <w:bCs/>
          <w:sz w:val="22"/>
          <w:szCs w:val="22"/>
        </w:rPr>
        <w:t>2) Immobili adibiti ad uso diverso da quello di abitazione</w:t>
      </w:r>
    </w:p>
    <w:p w:rsidR="006649DC" w:rsidRPr="002955FD" w:rsidRDefault="006649DC" w:rsidP="002955FD">
      <w:pPr>
        <w:jc w:val="both"/>
        <w:rPr>
          <w:rFonts w:ascii="Bookman Old Style" w:hAnsi="Bookman Old Style"/>
          <w:sz w:val="22"/>
          <w:szCs w:val="22"/>
        </w:rPr>
      </w:pPr>
      <w:r w:rsidRPr="002955FD">
        <w:rPr>
          <w:rFonts w:ascii="Bookman Old Style" w:hAnsi="Bookman Old Style"/>
          <w:sz w:val="22"/>
          <w:szCs w:val="22"/>
        </w:rPr>
        <w:t xml:space="preserve">La legge 431/1998 è intervenuta per ulteriormente disciplinare la locazione degli immobili ad uso abitativo. Nulla, pertanto, è variato per l'aggiornamento del canone riferito alla locazione degli immobili adibiti ad uso diverso da quello di abitazione (ad esempio uso industriale, artigianale, commerciale come negozi, studi professionali, palestre, o anche come uso alberghiero), ancora regolato dagli artt. 27 e segg. Della L. 392/1978. Resta quindi tuttora in vigore la norma di cui all'articolo 32 della Legge 392/1978, il quale prevede che le parti possano convenire che il canone di locazione sia aggiornato annualmente, su richiesta del locatore, per eventuali variazioni del potere di acquisto della lira, ma in misura non superiore al 75% della variazione, accertata dall'ISTAT, dell'indice dei prezzi al consumo per le famiglie di operai ed impiegati. </w:t>
      </w:r>
    </w:p>
    <w:p w:rsidR="006649DC" w:rsidRPr="002955FD" w:rsidRDefault="006649DC" w:rsidP="002955FD">
      <w:pPr>
        <w:pStyle w:val="NormalWeb"/>
        <w:spacing w:before="0" w:beforeAutospacing="0" w:after="0" w:afterAutospacing="0"/>
        <w:jc w:val="both"/>
        <w:rPr>
          <w:rFonts w:ascii="Bookman Old Style" w:hAnsi="Bookman Old Style"/>
          <w:sz w:val="22"/>
          <w:szCs w:val="22"/>
        </w:rPr>
      </w:pPr>
    </w:p>
    <w:p w:rsidR="006649DC" w:rsidRPr="002955FD" w:rsidRDefault="006649DC" w:rsidP="002955FD">
      <w:pPr>
        <w:pStyle w:val="NormalWeb"/>
        <w:spacing w:before="0" w:beforeAutospacing="0" w:after="0" w:afterAutospacing="0"/>
        <w:jc w:val="both"/>
        <w:rPr>
          <w:rFonts w:ascii="Bookman Old Style" w:hAnsi="Bookman Old Style"/>
          <w:sz w:val="22"/>
          <w:szCs w:val="22"/>
        </w:rPr>
      </w:pPr>
    </w:p>
    <w:p w:rsidR="006649DC" w:rsidRPr="0031049B" w:rsidRDefault="006649DC" w:rsidP="002955FD">
      <w:pPr>
        <w:pBdr>
          <w:top w:val="single" w:sz="4" w:space="1" w:color="auto"/>
          <w:left w:val="single" w:sz="4" w:space="4" w:color="auto"/>
          <w:bottom w:val="single" w:sz="4" w:space="1" w:color="auto"/>
          <w:right w:val="single" w:sz="4" w:space="4" w:color="auto"/>
        </w:pBdr>
        <w:shd w:val="clear" w:color="auto" w:fill="FFFF99"/>
        <w:jc w:val="both"/>
        <w:rPr>
          <w:rFonts w:ascii="Bookman Old Style" w:hAnsi="Bookman Old Style"/>
          <w:b/>
          <w:i/>
          <w:iCs/>
          <w:color w:val="262626"/>
          <w:sz w:val="22"/>
          <w:szCs w:val="22"/>
        </w:rPr>
      </w:pPr>
      <w:r w:rsidRPr="0031049B">
        <w:rPr>
          <w:rFonts w:ascii="Bookman Old Style" w:hAnsi="Bookman Old Style"/>
          <w:b/>
          <w:i/>
          <w:iCs/>
          <w:color w:val="262626"/>
          <w:sz w:val="22"/>
          <w:szCs w:val="22"/>
        </w:rPr>
        <w:t>Variazione annuale:</w:t>
      </w:r>
    </w:p>
    <w:p w:rsidR="006649DC" w:rsidRPr="0031049B" w:rsidRDefault="006649DC" w:rsidP="002955FD">
      <w:pPr>
        <w:pBdr>
          <w:top w:val="single" w:sz="4" w:space="1" w:color="auto"/>
          <w:left w:val="single" w:sz="4" w:space="4" w:color="auto"/>
          <w:bottom w:val="single" w:sz="4" w:space="1" w:color="auto"/>
          <w:right w:val="single" w:sz="4" w:space="4" w:color="auto"/>
        </w:pBdr>
        <w:shd w:val="clear" w:color="auto" w:fill="FFFF99"/>
        <w:jc w:val="both"/>
        <w:rPr>
          <w:rFonts w:ascii="Bookman Old Style" w:hAnsi="Bookman Old Style"/>
          <w:bCs/>
          <w:color w:val="262626"/>
          <w:sz w:val="22"/>
          <w:szCs w:val="22"/>
        </w:rPr>
      </w:pPr>
      <w:r>
        <w:rPr>
          <w:rFonts w:ascii="Bookman Old Style" w:hAnsi="Bookman Old Style"/>
          <w:bCs/>
          <w:color w:val="262626"/>
          <w:sz w:val="22"/>
          <w:szCs w:val="22"/>
        </w:rPr>
        <w:t>dicembre</w:t>
      </w:r>
      <w:r w:rsidRPr="0031049B">
        <w:rPr>
          <w:rFonts w:ascii="Bookman Old Style" w:hAnsi="Bookman Old Style"/>
          <w:bCs/>
          <w:color w:val="262626"/>
          <w:sz w:val="22"/>
          <w:szCs w:val="22"/>
        </w:rPr>
        <w:t xml:space="preserve"> 2016 /</w:t>
      </w:r>
      <w:r w:rsidRPr="00DD6111">
        <w:rPr>
          <w:rFonts w:ascii="Bookman Old Style" w:hAnsi="Bookman Old Style"/>
          <w:bCs/>
          <w:color w:val="262626"/>
          <w:sz w:val="22"/>
          <w:szCs w:val="22"/>
        </w:rPr>
        <w:t xml:space="preserve"> </w:t>
      </w:r>
      <w:r>
        <w:rPr>
          <w:rFonts w:ascii="Bookman Old Style" w:hAnsi="Bookman Old Style"/>
          <w:bCs/>
          <w:color w:val="262626"/>
          <w:sz w:val="22"/>
          <w:szCs w:val="22"/>
        </w:rPr>
        <w:t>dicembre</w:t>
      </w:r>
      <w:r w:rsidRPr="0031049B">
        <w:rPr>
          <w:rFonts w:ascii="Bookman Old Style" w:hAnsi="Bookman Old Style"/>
          <w:bCs/>
          <w:color w:val="262626"/>
          <w:sz w:val="22"/>
          <w:szCs w:val="22"/>
        </w:rPr>
        <w:t xml:space="preserve"> 2017: +</w:t>
      </w:r>
      <w:r>
        <w:rPr>
          <w:rFonts w:ascii="Bookman Old Style" w:hAnsi="Bookman Old Style"/>
          <w:b/>
          <w:color w:val="262626"/>
          <w:sz w:val="22"/>
          <w:szCs w:val="22"/>
        </w:rPr>
        <w:t>0</w:t>
      </w:r>
      <w:r w:rsidRPr="0031049B">
        <w:rPr>
          <w:rFonts w:ascii="Bookman Old Style" w:hAnsi="Bookman Old Style"/>
          <w:b/>
          <w:color w:val="262626"/>
          <w:sz w:val="22"/>
          <w:szCs w:val="22"/>
        </w:rPr>
        <w:t>,</w:t>
      </w:r>
      <w:r>
        <w:rPr>
          <w:rFonts w:ascii="Bookman Old Style" w:hAnsi="Bookman Old Style"/>
          <w:b/>
          <w:color w:val="262626"/>
          <w:sz w:val="22"/>
          <w:szCs w:val="22"/>
        </w:rPr>
        <w:t>600%</w:t>
      </w:r>
      <w:r w:rsidRPr="0031049B">
        <w:rPr>
          <w:rFonts w:ascii="Bookman Old Style" w:hAnsi="Bookman Old Style"/>
          <w:b/>
          <w:color w:val="262626"/>
          <w:sz w:val="22"/>
          <w:szCs w:val="22"/>
        </w:rPr>
        <w:t xml:space="preserve"> (75% dell’indice)</w:t>
      </w:r>
    </w:p>
    <w:p w:rsidR="006649DC" w:rsidRPr="0031049B" w:rsidRDefault="006649DC" w:rsidP="002955FD">
      <w:pPr>
        <w:pBdr>
          <w:top w:val="single" w:sz="4" w:space="1" w:color="auto"/>
          <w:left w:val="single" w:sz="4" w:space="4" w:color="auto"/>
          <w:bottom w:val="single" w:sz="4" w:space="1" w:color="auto"/>
          <w:right w:val="single" w:sz="4" w:space="4" w:color="auto"/>
        </w:pBdr>
        <w:shd w:val="clear" w:color="auto" w:fill="FFFF99"/>
        <w:jc w:val="both"/>
        <w:rPr>
          <w:rFonts w:ascii="Bookman Old Style" w:hAnsi="Bookman Old Style"/>
          <w:b/>
          <w:i/>
          <w:iCs/>
          <w:color w:val="262626"/>
          <w:sz w:val="22"/>
          <w:szCs w:val="22"/>
        </w:rPr>
      </w:pPr>
      <w:r w:rsidRPr="0031049B">
        <w:rPr>
          <w:rFonts w:ascii="Bookman Old Style" w:hAnsi="Bookman Old Style"/>
          <w:b/>
          <w:i/>
          <w:iCs/>
          <w:color w:val="262626"/>
          <w:sz w:val="22"/>
          <w:szCs w:val="22"/>
        </w:rPr>
        <w:t>Variazione biennale:</w:t>
      </w:r>
    </w:p>
    <w:p w:rsidR="006649DC" w:rsidRPr="00901D98" w:rsidRDefault="006649DC" w:rsidP="002955FD">
      <w:pPr>
        <w:pBdr>
          <w:top w:val="single" w:sz="4" w:space="1" w:color="auto"/>
          <w:left w:val="single" w:sz="4" w:space="4" w:color="auto"/>
          <w:bottom w:val="single" w:sz="4" w:space="1" w:color="auto"/>
          <w:right w:val="single" w:sz="4" w:space="4" w:color="auto"/>
        </w:pBdr>
        <w:shd w:val="clear" w:color="auto" w:fill="FFFF99"/>
        <w:jc w:val="both"/>
        <w:rPr>
          <w:rFonts w:ascii="Bookman Old Style" w:hAnsi="Bookman Old Style"/>
          <w:b/>
          <w:color w:val="262626"/>
          <w:sz w:val="22"/>
          <w:szCs w:val="22"/>
        </w:rPr>
      </w:pPr>
      <w:r>
        <w:rPr>
          <w:rFonts w:ascii="Bookman Old Style" w:hAnsi="Bookman Old Style"/>
          <w:bCs/>
          <w:color w:val="262626"/>
          <w:sz w:val="22"/>
          <w:szCs w:val="22"/>
        </w:rPr>
        <w:t>dicembre</w:t>
      </w:r>
      <w:r w:rsidRPr="0031049B">
        <w:rPr>
          <w:rFonts w:ascii="Bookman Old Style" w:hAnsi="Bookman Old Style"/>
          <w:bCs/>
          <w:color w:val="262626"/>
          <w:sz w:val="22"/>
          <w:szCs w:val="22"/>
        </w:rPr>
        <w:t xml:space="preserve"> 2015 / </w:t>
      </w:r>
      <w:r>
        <w:rPr>
          <w:rFonts w:ascii="Bookman Old Style" w:hAnsi="Bookman Old Style"/>
          <w:bCs/>
          <w:color w:val="262626"/>
          <w:sz w:val="22"/>
          <w:szCs w:val="22"/>
        </w:rPr>
        <w:t>dicembre</w:t>
      </w:r>
      <w:r w:rsidRPr="0031049B">
        <w:rPr>
          <w:rFonts w:ascii="Bookman Old Style" w:hAnsi="Bookman Old Style"/>
          <w:bCs/>
          <w:color w:val="262626"/>
          <w:sz w:val="22"/>
          <w:szCs w:val="22"/>
        </w:rPr>
        <w:t xml:space="preserve"> 2017: +</w:t>
      </w:r>
      <w:r w:rsidRPr="003E1ABF">
        <w:rPr>
          <w:rFonts w:ascii="Bookman Old Style" w:hAnsi="Bookman Old Style"/>
          <w:b/>
          <w:bCs/>
          <w:color w:val="262626"/>
          <w:sz w:val="22"/>
          <w:szCs w:val="22"/>
        </w:rPr>
        <w:t>0</w:t>
      </w:r>
      <w:r w:rsidRPr="003E1ABF">
        <w:rPr>
          <w:rFonts w:ascii="Bookman Old Style" w:hAnsi="Bookman Old Style"/>
          <w:b/>
          <w:color w:val="262626"/>
          <w:sz w:val="22"/>
          <w:szCs w:val="22"/>
        </w:rPr>
        <w:t>,</w:t>
      </w:r>
      <w:r>
        <w:rPr>
          <w:rFonts w:ascii="Bookman Old Style" w:hAnsi="Bookman Old Style"/>
          <w:b/>
          <w:color w:val="262626"/>
          <w:sz w:val="22"/>
          <w:szCs w:val="22"/>
        </w:rPr>
        <w:t>900</w:t>
      </w:r>
      <w:r w:rsidRPr="0031049B">
        <w:rPr>
          <w:rFonts w:ascii="Bookman Old Style" w:hAnsi="Bookman Old Style"/>
          <w:b/>
          <w:color w:val="262626"/>
          <w:sz w:val="22"/>
          <w:szCs w:val="22"/>
        </w:rPr>
        <w:t>% (75% dell’indice)</w:t>
      </w:r>
    </w:p>
    <w:p w:rsidR="006649DC" w:rsidRPr="002955FD" w:rsidRDefault="006649DC" w:rsidP="002955FD">
      <w:pPr>
        <w:pStyle w:val="Heading2"/>
        <w:jc w:val="both"/>
        <w:rPr>
          <w:rFonts w:ascii="Bookman Old Style" w:hAnsi="Bookman Old Style"/>
          <w:sz w:val="22"/>
          <w:szCs w:val="22"/>
        </w:rPr>
      </w:pPr>
      <w:bookmarkStart w:id="17" w:name="_Toc448485261"/>
      <w:bookmarkStart w:id="18" w:name="_Toc448485386"/>
      <w:bookmarkStart w:id="19" w:name="_Toc448485525"/>
      <w:bookmarkStart w:id="20" w:name="_Toc448485653"/>
      <w:bookmarkStart w:id="21" w:name="_Toc448485778"/>
      <w:bookmarkStart w:id="22" w:name="_Toc448485881"/>
      <w:bookmarkStart w:id="23" w:name="_Toc448494584"/>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Default="006649DC" w:rsidP="002955FD">
      <w:pPr>
        <w:jc w:val="both"/>
        <w:rPr>
          <w:rFonts w:ascii="Bookman Old Style" w:hAnsi="Bookman Old Style"/>
          <w:sz w:val="22"/>
          <w:szCs w:val="22"/>
        </w:rPr>
      </w:pPr>
    </w:p>
    <w:p w:rsidR="006649DC" w:rsidRDefault="006649DC" w:rsidP="002955FD">
      <w:pPr>
        <w:jc w:val="both"/>
        <w:rPr>
          <w:rFonts w:ascii="Bookman Old Style" w:hAnsi="Bookman Old Style"/>
          <w:sz w:val="22"/>
          <w:szCs w:val="22"/>
        </w:rPr>
      </w:pPr>
    </w:p>
    <w:p w:rsidR="006649DC" w:rsidRDefault="006649DC" w:rsidP="002955FD">
      <w:pPr>
        <w:jc w:val="both"/>
        <w:rPr>
          <w:rFonts w:ascii="Bookman Old Style" w:hAnsi="Bookman Old Style"/>
          <w:sz w:val="22"/>
          <w:szCs w:val="22"/>
        </w:rPr>
      </w:pPr>
    </w:p>
    <w:p w:rsidR="006649DC" w:rsidRDefault="006649DC" w:rsidP="002955FD">
      <w:pPr>
        <w:jc w:val="both"/>
        <w:rPr>
          <w:rFonts w:ascii="Bookman Old Style" w:hAnsi="Bookman Old Style"/>
          <w:sz w:val="22"/>
          <w:szCs w:val="22"/>
        </w:rPr>
      </w:pPr>
    </w:p>
    <w:p w:rsidR="006649DC" w:rsidRPr="002955FD" w:rsidRDefault="006649DC" w:rsidP="002955FD">
      <w:pPr>
        <w:pStyle w:val="Heading2"/>
        <w:jc w:val="both"/>
        <w:rPr>
          <w:rFonts w:ascii="Bookman Old Style" w:hAnsi="Bookman Old Style"/>
          <w:sz w:val="22"/>
          <w:szCs w:val="22"/>
        </w:rPr>
      </w:pPr>
      <w:bookmarkStart w:id="24" w:name="_Toc506559943"/>
      <w:r w:rsidRPr="002955FD">
        <w:rPr>
          <w:rFonts w:ascii="Bookman Old Style" w:hAnsi="Bookman Old Style"/>
          <w:sz w:val="22"/>
          <w:szCs w:val="22"/>
        </w:rPr>
        <w:t>Indice dI RIVALUTAZIONE DEL T.F.R.</w:t>
      </w:r>
      <w:bookmarkEnd w:id="17"/>
      <w:bookmarkEnd w:id="18"/>
      <w:bookmarkEnd w:id="19"/>
      <w:bookmarkEnd w:id="20"/>
      <w:bookmarkEnd w:id="21"/>
      <w:bookmarkEnd w:id="22"/>
      <w:bookmarkEnd w:id="23"/>
      <w:bookmarkEnd w:id="24"/>
    </w:p>
    <w:p w:rsidR="006649DC" w:rsidRPr="002955FD" w:rsidRDefault="006649DC" w:rsidP="002955FD">
      <w:pPr>
        <w:spacing w:after="30"/>
        <w:jc w:val="both"/>
        <w:rPr>
          <w:rFonts w:ascii="Bookman Old Style" w:hAnsi="Bookman Old Style"/>
          <w:b/>
          <w:bCs/>
          <w:caps/>
          <w:color w:val="000080"/>
          <w:sz w:val="22"/>
          <w:szCs w:val="22"/>
        </w:rPr>
      </w:pPr>
    </w:p>
    <w:p w:rsidR="006649DC" w:rsidRPr="005464B6" w:rsidRDefault="006649DC" w:rsidP="002955FD">
      <w:pPr>
        <w:pStyle w:val="NormalWeb"/>
        <w:spacing w:before="0" w:beforeAutospacing="0" w:after="30" w:afterAutospacing="0"/>
        <w:jc w:val="both"/>
        <w:rPr>
          <w:rFonts w:ascii="Bookman Old Style" w:hAnsi="Bookman Old Style"/>
          <w:b/>
          <w:bCs/>
          <w:color w:val="000080"/>
          <w:sz w:val="22"/>
          <w:szCs w:val="22"/>
        </w:rPr>
      </w:pPr>
      <w:r w:rsidRPr="005464B6">
        <w:rPr>
          <w:rFonts w:ascii="Bookman Old Style" w:hAnsi="Bookman Old Style"/>
          <w:b/>
          <w:bCs/>
          <w:color w:val="000080"/>
          <w:sz w:val="22"/>
          <w:szCs w:val="22"/>
        </w:rPr>
        <w:t>ANNO 2017 (anno 2016= 100,00)</w:t>
      </w:r>
    </w:p>
    <w:p w:rsidR="006649DC" w:rsidRPr="005464B6" w:rsidRDefault="006649DC" w:rsidP="002955FD">
      <w:pPr>
        <w:pStyle w:val="NormalWeb"/>
        <w:spacing w:before="0" w:beforeAutospacing="0" w:after="30" w:afterAutospacing="0"/>
        <w:jc w:val="both"/>
        <w:rPr>
          <w:rFonts w:ascii="Bookman Old Style" w:hAnsi="Bookman Old Style"/>
          <w:b/>
          <w:bCs/>
          <w:color w:val="000080"/>
          <w:sz w:val="22"/>
          <w:szCs w:val="22"/>
        </w:rPr>
      </w:pPr>
    </w:p>
    <w:tbl>
      <w:tblPr>
        <w:tblW w:w="5487" w:type="pct"/>
        <w:tblCellSpacing w:w="15" w:type="dxa"/>
        <w:tblInd w:w="-36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893"/>
        <w:gridCol w:w="1336"/>
        <w:gridCol w:w="1760"/>
        <w:gridCol w:w="1571"/>
        <w:gridCol w:w="2029"/>
        <w:gridCol w:w="2119"/>
      </w:tblGrid>
      <w:tr w:rsidR="006649DC" w:rsidRPr="005464B6" w:rsidTr="005A3A1F">
        <w:trPr>
          <w:trHeight w:val="1058"/>
          <w:tblCellSpacing w:w="15" w:type="dxa"/>
        </w:trPr>
        <w:tc>
          <w:tcPr>
            <w:tcW w:w="865" w:type="pct"/>
            <w:tcBorders>
              <w:top w:val="outset" w:sz="6" w:space="0" w:color="auto"/>
              <w:bottom w:val="outset" w:sz="6" w:space="0" w:color="auto"/>
              <w:right w:val="outset" w:sz="6" w:space="0" w:color="auto"/>
            </w:tcBorders>
            <w:shd w:val="clear" w:color="auto" w:fill="000080"/>
            <w:tcMar>
              <w:top w:w="15" w:type="dxa"/>
              <w:left w:w="15" w:type="dxa"/>
              <w:bottom w:w="15" w:type="dxa"/>
              <w:right w:w="15" w:type="dxa"/>
            </w:tcMar>
            <w:vAlign w:val="center"/>
          </w:tcPr>
          <w:p w:rsidR="006649DC" w:rsidRPr="005464B6" w:rsidRDefault="006649DC" w:rsidP="00D0270A">
            <w:pPr>
              <w:spacing w:before="50" w:after="50"/>
              <w:jc w:val="center"/>
              <w:rPr>
                <w:rFonts w:ascii="Bookman Old Style" w:hAnsi="Bookman Old Style"/>
                <w:color w:val="000080"/>
                <w:sz w:val="22"/>
                <w:szCs w:val="22"/>
              </w:rPr>
            </w:pPr>
            <w:bookmarkStart w:id="25" w:name="_Toc448485262"/>
            <w:r w:rsidRPr="005464B6">
              <w:rPr>
                <w:rFonts w:ascii="Bookman Old Style" w:hAnsi="Bookman Old Style"/>
                <w:b/>
                <w:bCs/>
                <w:color w:val="FFFFFF"/>
                <w:sz w:val="22"/>
                <w:szCs w:val="22"/>
              </w:rPr>
              <w:t>Mese</w:t>
            </w:r>
            <w:bookmarkEnd w:id="25"/>
          </w:p>
        </w:tc>
        <w:tc>
          <w:tcPr>
            <w:tcW w:w="1421" w:type="pct"/>
            <w:gridSpan w:val="2"/>
            <w:tcBorders>
              <w:top w:val="outset" w:sz="6" w:space="0" w:color="auto"/>
              <w:left w:val="outset" w:sz="6" w:space="0" w:color="auto"/>
              <w:bottom w:val="outset" w:sz="6" w:space="0" w:color="auto"/>
              <w:right w:val="outset" w:sz="6" w:space="0" w:color="auto"/>
            </w:tcBorders>
            <w:shd w:val="clear" w:color="auto" w:fill="000080"/>
            <w:tcMar>
              <w:top w:w="15" w:type="dxa"/>
              <w:left w:w="15" w:type="dxa"/>
              <w:bottom w:w="15" w:type="dxa"/>
              <w:right w:w="15" w:type="dxa"/>
            </w:tcMar>
            <w:vAlign w:val="center"/>
          </w:tcPr>
          <w:tbl>
            <w:tblPr>
              <w:tblW w:w="4990" w:type="pct"/>
              <w:tblCellSpacing w:w="0" w:type="dxa"/>
              <w:tblCellMar>
                <w:left w:w="0" w:type="dxa"/>
                <w:right w:w="0" w:type="dxa"/>
              </w:tblCellMar>
              <w:tblLook w:val="0000"/>
            </w:tblPr>
            <w:tblGrid>
              <w:gridCol w:w="1450"/>
              <w:gridCol w:w="1550"/>
            </w:tblGrid>
            <w:tr w:rsidR="006649DC" w:rsidRPr="005464B6" w:rsidTr="005A3A1F">
              <w:trPr>
                <w:trHeight w:val="570"/>
                <w:tblCellSpacing w:w="0" w:type="dxa"/>
              </w:trPr>
              <w:tc>
                <w:tcPr>
                  <w:tcW w:w="5000" w:type="pct"/>
                  <w:gridSpan w:val="2"/>
                  <w:tcBorders>
                    <w:top w:val="nil"/>
                    <w:left w:val="nil"/>
                    <w:bottom w:val="nil"/>
                    <w:right w:val="nil"/>
                  </w:tcBorders>
                </w:tcPr>
                <w:p w:rsidR="006649DC" w:rsidRPr="005464B6" w:rsidRDefault="006649DC" w:rsidP="00D0270A">
                  <w:pPr>
                    <w:spacing w:before="50" w:after="50"/>
                    <w:jc w:val="center"/>
                    <w:rPr>
                      <w:rFonts w:ascii="Bookman Old Style" w:hAnsi="Bookman Old Style"/>
                      <w:sz w:val="22"/>
                      <w:szCs w:val="22"/>
                    </w:rPr>
                  </w:pPr>
                  <w:r w:rsidRPr="005464B6">
                    <w:rPr>
                      <w:rFonts w:ascii="Bookman Old Style" w:hAnsi="Bookman Old Style"/>
                      <w:b/>
                      <w:bCs/>
                      <w:color w:val="FFFFFF"/>
                      <w:sz w:val="22"/>
                      <w:szCs w:val="22"/>
                    </w:rPr>
                    <w:t>CESSAZIONE DEL RAPPORTO</w:t>
                  </w:r>
                </w:p>
              </w:tc>
            </w:tr>
            <w:tr w:rsidR="006649DC" w:rsidRPr="005464B6" w:rsidTr="005A3A1F">
              <w:trPr>
                <w:trHeight w:val="333"/>
                <w:tblCellSpacing w:w="0" w:type="dxa"/>
              </w:trPr>
              <w:tc>
                <w:tcPr>
                  <w:tcW w:w="2417" w:type="pct"/>
                  <w:tcBorders>
                    <w:top w:val="nil"/>
                    <w:left w:val="nil"/>
                    <w:bottom w:val="nil"/>
                    <w:right w:val="nil"/>
                  </w:tcBorders>
                </w:tcPr>
                <w:p w:rsidR="006649DC" w:rsidRPr="005464B6" w:rsidRDefault="006649DC" w:rsidP="00D0270A">
                  <w:pPr>
                    <w:spacing w:before="50" w:after="50"/>
                    <w:jc w:val="center"/>
                    <w:rPr>
                      <w:rFonts w:ascii="Bookman Old Style" w:hAnsi="Bookman Old Style"/>
                      <w:sz w:val="22"/>
                      <w:szCs w:val="22"/>
                    </w:rPr>
                  </w:pPr>
                  <w:r w:rsidRPr="005464B6">
                    <w:rPr>
                      <w:rFonts w:ascii="Bookman Old Style" w:hAnsi="Bookman Old Style"/>
                      <w:b/>
                      <w:bCs/>
                      <w:color w:val="FFFFFF"/>
                      <w:sz w:val="22"/>
                      <w:szCs w:val="22"/>
                    </w:rPr>
                    <w:t>dal</w:t>
                  </w:r>
                </w:p>
              </w:tc>
              <w:tc>
                <w:tcPr>
                  <w:tcW w:w="2582" w:type="pct"/>
                  <w:tcBorders>
                    <w:top w:val="nil"/>
                    <w:left w:val="nil"/>
                    <w:bottom w:val="nil"/>
                    <w:right w:val="nil"/>
                  </w:tcBorders>
                </w:tcPr>
                <w:p w:rsidR="006649DC" w:rsidRPr="005464B6" w:rsidRDefault="006649DC" w:rsidP="00D0270A">
                  <w:pPr>
                    <w:spacing w:before="50" w:after="50"/>
                    <w:jc w:val="center"/>
                    <w:rPr>
                      <w:rFonts w:ascii="Bookman Old Style" w:hAnsi="Bookman Old Style"/>
                      <w:sz w:val="22"/>
                      <w:szCs w:val="22"/>
                    </w:rPr>
                  </w:pPr>
                  <w:r w:rsidRPr="005464B6">
                    <w:rPr>
                      <w:rFonts w:ascii="Bookman Old Style" w:hAnsi="Bookman Old Style"/>
                      <w:b/>
                      <w:bCs/>
                      <w:color w:val="FFFFFF"/>
                      <w:sz w:val="22"/>
                      <w:szCs w:val="22"/>
                    </w:rPr>
                    <w:t>Al</w:t>
                  </w:r>
                </w:p>
              </w:tc>
            </w:tr>
          </w:tbl>
          <w:p w:rsidR="006649DC" w:rsidRPr="005464B6" w:rsidRDefault="006649DC" w:rsidP="00D0270A">
            <w:pPr>
              <w:jc w:val="center"/>
              <w:rPr>
                <w:rFonts w:ascii="Bookman Old Style" w:hAnsi="Bookman Old Style"/>
                <w:color w:val="000080"/>
                <w:sz w:val="22"/>
                <w:szCs w:val="22"/>
              </w:rPr>
            </w:pPr>
          </w:p>
        </w:tc>
        <w:tc>
          <w:tcPr>
            <w:tcW w:w="722" w:type="pct"/>
            <w:tcBorders>
              <w:top w:val="outset" w:sz="6" w:space="0" w:color="auto"/>
              <w:left w:val="outset" w:sz="6" w:space="0" w:color="auto"/>
              <w:bottom w:val="outset" w:sz="6" w:space="0" w:color="auto"/>
              <w:right w:val="outset" w:sz="6" w:space="0" w:color="auto"/>
            </w:tcBorders>
            <w:shd w:val="clear" w:color="auto" w:fill="000080"/>
            <w:tcMar>
              <w:top w:w="15" w:type="dxa"/>
              <w:left w:w="15" w:type="dxa"/>
              <w:bottom w:w="15" w:type="dxa"/>
              <w:right w:w="15" w:type="dxa"/>
            </w:tcMar>
            <w:vAlign w:val="center"/>
          </w:tcPr>
          <w:p w:rsidR="006649DC" w:rsidRPr="005464B6" w:rsidRDefault="006649DC" w:rsidP="00D0270A">
            <w:pPr>
              <w:spacing w:before="50" w:after="50"/>
              <w:jc w:val="center"/>
              <w:rPr>
                <w:rFonts w:ascii="Bookman Old Style" w:hAnsi="Bookman Old Style"/>
                <w:color w:val="000080"/>
                <w:sz w:val="22"/>
                <w:szCs w:val="22"/>
              </w:rPr>
            </w:pPr>
            <w:r w:rsidRPr="005464B6">
              <w:rPr>
                <w:rFonts w:ascii="Bookman Old Style" w:hAnsi="Bookman Old Style"/>
                <w:b/>
                <w:bCs/>
                <w:color w:val="FFFFFF"/>
                <w:sz w:val="22"/>
                <w:szCs w:val="22"/>
              </w:rPr>
              <w:t>Indice ISTAT</w:t>
            </w:r>
            <w:r w:rsidRPr="005464B6">
              <w:rPr>
                <w:rFonts w:ascii="Bookman Old Style" w:hAnsi="Bookman Old Style"/>
                <w:color w:val="FFFFFF"/>
                <w:sz w:val="22"/>
                <w:szCs w:val="22"/>
              </w:rPr>
              <w:br/>
              <w:t>(prezzi al consumo)</w:t>
            </w:r>
          </w:p>
        </w:tc>
        <w:tc>
          <w:tcPr>
            <w:tcW w:w="936" w:type="pct"/>
            <w:tcBorders>
              <w:top w:val="outset" w:sz="6" w:space="0" w:color="auto"/>
              <w:left w:val="outset" w:sz="6" w:space="0" w:color="auto"/>
              <w:bottom w:val="outset" w:sz="6" w:space="0" w:color="auto"/>
              <w:right w:val="outset" w:sz="6" w:space="0" w:color="auto"/>
            </w:tcBorders>
            <w:shd w:val="clear" w:color="auto" w:fill="000080"/>
            <w:tcMar>
              <w:top w:w="15" w:type="dxa"/>
              <w:left w:w="15" w:type="dxa"/>
              <w:bottom w:w="15" w:type="dxa"/>
              <w:right w:w="15" w:type="dxa"/>
            </w:tcMar>
            <w:vAlign w:val="center"/>
          </w:tcPr>
          <w:p w:rsidR="006649DC" w:rsidRPr="005464B6" w:rsidRDefault="006649DC" w:rsidP="00D0270A">
            <w:pPr>
              <w:spacing w:before="50" w:after="50"/>
              <w:jc w:val="center"/>
              <w:rPr>
                <w:rFonts w:ascii="Bookman Old Style" w:hAnsi="Bookman Old Style"/>
                <w:color w:val="000080"/>
                <w:sz w:val="22"/>
                <w:szCs w:val="22"/>
              </w:rPr>
            </w:pPr>
            <w:r w:rsidRPr="005464B6">
              <w:rPr>
                <w:rFonts w:ascii="Bookman Old Style" w:hAnsi="Bookman Old Style"/>
                <w:b/>
                <w:bCs/>
                <w:color w:val="FFFFFF"/>
                <w:sz w:val="22"/>
                <w:szCs w:val="22"/>
              </w:rPr>
              <w:t>RIVALUTAZIONE</w:t>
            </w:r>
          </w:p>
        </w:tc>
        <w:tc>
          <w:tcPr>
            <w:tcW w:w="971" w:type="pct"/>
            <w:tcBorders>
              <w:top w:val="outset" w:sz="6" w:space="0" w:color="auto"/>
              <w:left w:val="outset" w:sz="6" w:space="0" w:color="auto"/>
              <w:bottom w:val="outset" w:sz="6" w:space="0" w:color="auto"/>
            </w:tcBorders>
            <w:shd w:val="clear" w:color="auto" w:fill="000080"/>
            <w:tcMar>
              <w:top w:w="15" w:type="dxa"/>
              <w:left w:w="15" w:type="dxa"/>
              <w:bottom w:w="15" w:type="dxa"/>
              <w:right w:w="15" w:type="dxa"/>
            </w:tcMar>
            <w:vAlign w:val="center"/>
          </w:tcPr>
          <w:p w:rsidR="006649DC" w:rsidRPr="005464B6" w:rsidRDefault="006649DC" w:rsidP="00D0270A">
            <w:pPr>
              <w:spacing w:before="50" w:after="50"/>
              <w:jc w:val="center"/>
              <w:rPr>
                <w:rFonts w:ascii="Bookman Old Style" w:hAnsi="Bookman Old Style"/>
                <w:color w:val="000080"/>
                <w:sz w:val="22"/>
                <w:szCs w:val="22"/>
              </w:rPr>
            </w:pPr>
            <w:r w:rsidRPr="005464B6">
              <w:rPr>
                <w:rFonts w:ascii="Bookman Old Style" w:hAnsi="Bookman Old Style"/>
                <w:b/>
                <w:bCs/>
                <w:color w:val="FFFFFF"/>
                <w:sz w:val="22"/>
                <w:szCs w:val="22"/>
              </w:rPr>
              <w:t>T.F.R.</w:t>
            </w:r>
            <w:r w:rsidRPr="005464B6">
              <w:rPr>
                <w:rFonts w:ascii="Bookman Old Style" w:hAnsi="Bookman Old Style"/>
                <w:b/>
                <w:bCs/>
                <w:color w:val="FFFFFF"/>
                <w:sz w:val="22"/>
                <w:szCs w:val="22"/>
              </w:rPr>
              <w:br/>
              <w:t>RIVALUTATO</w:t>
            </w:r>
          </w:p>
        </w:tc>
      </w:tr>
      <w:tr w:rsidR="006649DC" w:rsidRPr="005464B6" w:rsidTr="005A3A1F">
        <w:trPr>
          <w:trHeight w:val="417"/>
          <w:tblCellSpacing w:w="15" w:type="dxa"/>
        </w:trPr>
        <w:tc>
          <w:tcPr>
            <w:tcW w:w="865" w:type="pct"/>
            <w:tcBorders>
              <w:top w:val="outset" w:sz="6" w:space="0" w:color="auto"/>
              <w:bottom w:val="outset" w:sz="6" w:space="0" w:color="auto"/>
              <w:right w:val="outset" w:sz="6" w:space="0" w:color="auto"/>
            </w:tcBorders>
            <w:tcMar>
              <w:top w:w="15" w:type="dxa"/>
              <w:left w:w="15" w:type="dxa"/>
              <w:bottom w:w="15" w:type="dxa"/>
              <w:right w:w="15" w:type="dxa"/>
            </w:tcMar>
          </w:tcPr>
          <w:p w:rsidR="006649DC" w:rsidRPr="005464B6" w:rsidRDefault="006649DC" w:rsidP="005464B6">
            <w:pPr>
              <w:pStyle w:val="NormalWeb"/>
              <w:spacing w:beforeAutospacing="0" w:afterAutospacing="0"/>
              <w:jc w:val="center"/>
              <w:rPr>
                <w:rFonts w:ascii="Bookman Old Style" w:hAnsi="Bookman Old Style"/>
                <w:bCs/>
                <w:sz w:val="20"/>
                <w:szCs w:val="20"/>
              </w:rPr>
            </w:pPr>
            <w:r w:rsidRPr="005464B6">
              <w:rPr>
                <w:rFonts w:ascii="Bookman Old Style" w:hAnsi="Bookman Old Style"/>
                <w:bCs/>
                <w:sz w:val="20"/>
                <w:szCs w:val="20"/>
              </w:rPr>
              <w:t>dicembre 201</w:t>
            </w:r>
            <w:r>
              <w:rPr>
                <w:rFonts w:ascii="Bookman Old Style" w:hAnsi="Bookman Old Style"/>
                <w:bCs/>
                <w:sz w:val="20"/>
                <w:szCs w:val="20"/>
              </w:rPr>
              <w:t>6</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31049B" w:rsidRDefault="006649DC" w:rsidP="005464B6">
            <w:pPr>
              <w:pStyle w:val="NormalWeb"/>
              <w:spacing w:beforeAutospacing="0" w:afterAutospacing="0"/>
              <w:jc w:val="center"/>
              <w:rPr>
                <w:rFonts w:ascii="Bookman Old Style" w:hAnsi="Bookman Old Style"/>
                <w:bCs/>
                <w:sz w:val="22"/>
                <w:szCs w:val="22"/>
              </w:rPr>
            </w:pPr>
            <w:r w:rsidRPr="0031049B">
              <w:rPr>
                <w:rFonts w:ascii="Bookman Old Style" w:hAnsi="Bookman Old Style"/>
                <w:bCs/>
                <w:sz w:val="22"/>
                <w:szCs w:val="22"/>
              </w:rPr>
              <w:t>15.12.2016</w:t>
            </w:r>
          </w:p>
        </w:tc>
        <w:tc>
          <w:tcPr>
            <w:tcW w:w="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31049B" w:rsidRDefault="006649DC" w:rsidP="005464B6">
            <w:pPr>
              <w:pStyle w:val="NormalWeb"/>
              <w:spacing w:beforeAutospacing="0" w:afterAutospacing="0"/>
              <w:jc w:val="center"/>
              <w:rPr>
                <w:rFonts w:ascii="Bookman Old Style" w:hAnsi="Bookman Old Style"/>
                <w:bCs/>
                <w:sz w:val="22"/>
                <w:szCs w:val="22"/>
              </w:rPr>
            </w:pPr>
            <w:r w:rsidRPr="0031049B">
              <w:rPr>
                <w:rFonts w:ascii="Bookman Old Style" w:hAnsi="Bookman Old Style"/>
                <w:bCs/>
                <w:sz w:val="22"/>
                <w:szCs w:val="22"/>
              </w:rPr>
              <w:t>14.01.2016</w:t>
            </w:r>
          </w:p>
        </w:tc>
        <w:tc>
          <w:tcPr>
            <w:tcW w:w="7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31049B" w:rsidRDefault="006649DC" w:rsidP="00CD2F0E">
            <w:pPr>
              <w:pStyle w:val="NormalWeb"/>
              <w:spacing w:beforeAutospacing="0" w:afterAutospacing="0"/>
              <w:jc w:val="center"/>
              <w:rPr>
                <w:rFonts w:ascii="Bookman Old Style" w:hAnsi="Bookman Old Style"/>
                <w:bCs/>
                <w:sz w:val="22"/>
                <w:szCs w:val="22"/>
              </w:rPr>
            </w:pPr>
            <w:r w:rsidRPr="0031049B">
              <w:rPr>
                <w:rFonts w:ascii="Bookman Old Style" w:hAnsi="Bookman Old Style"/>
                <w:bCs/>
                <w:sz w:val="22"/>
                <w:szCs w:val="22"/>
              </w:rPr>
              <w:t>100,30</w:t>
            </w:r>
          </w:p>
        </w:tc>
        <w:tc>
          <w:tcPr>
            <w:tcW w:w="9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31049B" w:rsidRDefault="006649DC" w:rsidP="00CD2F0E">
            <w:pPr>
              <w:pStyle w:val="NormalWeb"/>
              <w:spacing w:beforeAutospacing="0" w:afterAutospacing="0"/>
              <w:jc w:val="center"/>
              <w:rPr>
                <w:rFonts w:ascii="Bookman Old Style" w:hAnsi="Bookman Old Style"/>
                <w:bCs/>
                <w:sz w:val="22"/>
                <w:szCs w:val="22"/>
              </w:rPr>
            </w:pPr>
            <w:r w:rsidRPr="0031049B">
              <w:rPr>
                <w:rFonts w:ascii="Bookman Old Style" w:hAnsi="Bookman Old Style"/>
                <w:bCs/>
                <w:sz w:val="22"/>
                <w:szCs w:val="22"/>
              </w:rPr>
              <w:t>1,79530374</w:t>
            </w:r>
          </w:p>
        </w:tc>
        <w:tc>
          <w:tcPr>
            <w:tcW w:w="971" w:type="pct"/>
            <w:tcBorders>
              <w:top w:val="outset" w:sz="6" w:space="0" w:color="auto"/>
              <w:left w:val="outset" w:sz="6" w:space="0" w:color="auto"/>
              <w:bottom w:val="outset" w:sz="6" w:space="0" w:color="auto"/>
            </w:tcBorders>
            <w:tcMar>
              <w:top w:w="15" w:type="dxa"/>
              <w:left w:w="15" w:type="dxa"/>
              <w:bottom w:w="15" w:type="dxa"/>
              <w:right w:w="15" w:type="dxa"/>
            </w:tcMar>
          </w:tcPr>
          <w:p w:rsidR="006649DC" w:rsidRPr="0031049B" w:rsidRDefault="006649DC" w:rsidP="00CD2F0E">
            <w:pPr>
              <w:pStyle w:val="NormalWeb"/>
              <w:spacing w:beforeAutospacing="0" w:afterAutospacing="0"/>
              <w:jc w:val="center"/>
              <w:rPr>
                <w:rFonts w:ascii="Bookman Old Style" w:hAnsi="Bookman Old Style"/>
                <w:bCs/>
                <w:sz w:val="22"/>
                <w:szCs w:val="22"/>
              </w:rPr>
            </w:pPr>
            <w:r w:rsidRPr="0031049B">
              <w:rPr>
                <w:rFonts w:ascii="Bookman Old Style" w:hAnsi="Bookman Old Style"/>
                <w:bCs/>
                <w:sz w:val="22"/>
                <w:szCs w:val="22"/>
              </w:rPr>
              <w:t>1,01795304</w:t>
            </w:r>
          </w:p>
        </w:tc>
      </w:tr>
      <w:tr w:rsidR="006649DC" w:rsidRPr="005464B6" w:rsidTr="005A3A1F">
        <w:trPr>
          <w:trHeight w:val="431"/>
          <w:tblCellSpacing w:w="15" w:type="dxa"/>
        </w:trPr>
        <w:tc>
          <w:tcPr>
            <w:tcW w:w="865" w:type="pct"/>
            <w:tcBorders>
              <w:top w:val="outset" w:sz="6" w:space="0" w:color="auto"/>
              <w:bottom w:val="outset" w:sz="6" w:space="0" w:color="auto"/>
              <w:right w:val="outset" w:sz="6" w:space="0" w:color="auto"/>
            </w:tcBorders>
            <w:tcMar>
              <w:top w:w="15" w:type="dxa"/>
              <w:left w:w="15" w:type="dxa"/>
              <w:bottom w:w="15" w:type="dxa"/>
              <w:right w:w="15" w:type="dxa"/>
            </w:tcMar>
          </w:tcPr>
          <w:p w:rsidR="006649DC" w:rsidRPr="005464B6" w:rsidRDefault="006649DC" w:rsidP="005464B6">
            <w:pPr>
              <w:pStyle w:val="NormalWeb"/>
              <w:spacing w:beforeAutospacing="0" w:afterAutospacing="0"/>
              <w:jc w:val="center"/>
              <w:rPr>
                <w:rFonts w:ascii="Bookman Old Style" w:hAnsi="Bookman Old Style"/>
                <w:bCs/>
                <w:sz w:val="20"/>
                <w:szCs w:val="20"/>
              </w:rPr>
            </w:pPr>
            <w:r w:rsidRPr="005464B6">
              <w:rPr>
                <w:rFonts w:ascii="Bookman Old Style" w:hAnsi="Bookman Old Style"/>
                <w:bCs/>
                <w:sz w:val="20"/>
                <w:szCs w:val="20"/>
              </w:rPr>
              <w:t>gennaio 201</w:t>
            </w:r>
            <w:r>
              <w:rPr>
                <w:rFonts w:ascii="Bookman Old Style" w:hAnsi="Bookman Old Style"/>
                <w:bCs/>
                <w:sz w:val="20"/>
                <w:szCs w:val="20"/>
              </w:rPr>
              <w:t>7</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31049B" w:rsidRDefault="006649DC" w:rsidP="00CD2F0E">
            <w:pPr>
              <w:pStyle w:val="NormalWeb"/>
              <w:spacing w:beforeAutospacing="0" w:afterAutospacing="0"/>
              <w:jc w:val="center"/>
              <w:rPr>
                <w:rFonts w:ascii="Bookman Old Style" w:hAnsi="Bookman Old Style"/>
                <w:bCs/>
                <w:sz w:val="22"/>
                <w:szCs w:val="22"/>
              </w:rPr>
            </w:pPr>
            <w:r w:rsidRPr="0031049B">
              <w:rPr>
                <w:rFonts w:ascii="Bookman Old Style" w:hAnsi="Bookman Old Style"/>
                <w:bCs/>
                <w:sz w:val="22"/>
                <w:szCs w:val="22"/>
              </w:rPr>
              <w:t>15.01.2017</w:t>
            </w:r>
          </w:p>
        </w:tc>
        <w:tc>
          <w:tcPr>
            <w:tcW w:w="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31049B" w:rsidRDefault="006649DC" w:rsidP="00CD2F0E">
            <w:pPr>
              <w:pStyle w:val="NormalWeb"/>
              <w:spacing w:beforeAutospacing="0" w:afterAutospacing="0"/>
              <w:jc w:val="center"/>
              <w:rPr>
                <w:rFonts w:ascii="Bookman Old Style" w:hAnsi="Bookman Old Style"/>
                <w:bCs/>
                <w:sz w:val="22"/>
                <w:szCs w:val="22"/>
              </w:rPr>
            </w:pPr>
            <w:r w:rsidRPr="0031049B">
              <w:rPr>
                <w:rFonts w:ascii="Bookman Old Style" w:hAnsi="Bookman Old Style"/>
                <w:bCs/>
                <w:sz w:val="22"/>
                <w:szCs w:val="22"/>
              </w:rPr>
              <w:t>14.02.2017</w:t>
            </w:r>
          </w:p>
        </w:tc>
        <w:tc>
          <w:tcPr>
            <w:tcW w:w="7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901D98" w:rsidRDefault="006649DC" w:rsidP="00CD2F0E">
            <w:pPr>
              <w:pStyle w:val="NormalWeb"/>
              <w:spacing w:beforeAutospacing="0" w:afterAutospacing="0"/>
              <w:jc w:val="center"/>
              <w:rPr>
                <w:rFonts w:ascii="Bookman Old Style" w:hAnsi="Bookman Old Style"/>
                <w:bCs/>
                <w:sz w:val="22"/>
                <w:szCs w:val="22"/>
              </w:rPr>
            </w:pPr>
            <w:r w:rsidRPr="00901D98">
              <w:rPr>
                <w:rFonts w:ascii="Bookman Old Style" w:hAnsi="Bookman Old Style"/>
                <w:bCs/>
                <w:sz w:val="22"/>
                <w:szCs w:val="22"/>
              </w:rPr>
              <w:t>100,60</w:t>
            </w:r>
          </w:p>
        </w:tc>
        <w:tc>
          <w:tcPr>
            <w:tcW w:w="9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901D98" w:rsidRDefault="006649DC" w:rsidP="00CD2F0E">
            <w:pPr>
              <w:pStyle w:val="NormalWeb"/>
              <w:spacing w:beforeAutospacing="0" w:afterAutospacing="0"/>
              <w:jc w:val="center"/>
              <w:rPr>
                <w:rFonts w:ascii="Bookman Old Style" w:hAnsi="Bookman Old Style"/>
                <w:bCs/>
                <w:sz w:val="22"/>
                <w:szCs w:val="22"/>
              </w:rPr>
            </w:pPr>
            <w:r w:rsidRPr="00901D98">
              <w:rPr>
                <w:rFonts w:ascii="Bookman Old Style" w:hAnsi="Bookman Old Style"/>
                <w:bCs/>
                <w:sz w:val="22"/>
                <w:szCs w:val="22"/>
              </w:rPr>
              <w:t>0,349327</w:t>
            </w:r>
          </w:p>
        </w:tc>
        <w:tc>
          <w:tcPr>
            <w:tcW w:w="971" w:type="pct"/>
            <w:tcBorders>
              <w:top w:val="outset" w:sz="6" w:space="0" w:color="auto"/>
              <w:left w:val="outset" w:sz="6" w:space="0" w:color="auto"/>
              <w:bottom w:val="outset" w:sz="6" w:space="0" w:color="auto"/>
            </w:tcBorders>
            <w:tcMar>
              <w:top w:w="15" w:type="dxa"/>
              <w:left w:w="15" w:type="dxa"/>
              <w:bottom w:w="15" w:type="dxa"/>
              <w:right w:w="15" w:type="dxa"/>
            </w:tcMar>
          </w:tcPr>
          <w:p w:rsidR="006649DC" w:rsidRPr="00901D98" w:rsidRDefault="006649DC" w:rsidP="00CD2F0E">
            <w:pPr>
              <w:pStyle w:val="NormalWeb"/>
              <w:spacing w:beforeAutospacing="0" w:afterAutospacing="0"/>
              <w:jc w:val="center"/>
              <w:rPr>
                <w:rFonts w:ascii="Bookman Old Style" w:hAnsi="Bookman Old Style"/>
                <w:bCs/>
                <w:sz w:val="22"/>
                <w:szCs w:val="22"/>
              </w:rPr>
            </w:pPr>
            <w:r w:rsidRPr="00901D98">
              <w:rPr>
                <w:rFonts w:ascii="Bookman Old Style" w:hAnsi="Bookman Old Style"/>
                <w:bCs/>
                <w:sz w:val="22"/>
                <w:szCs w:val="22"/>
              </w:rPr>
              <w:t>1,00349327</w:t>
            </w:r>
          </w:p>
        </w:tc>
      </w:tr>
      <w:tr w:rsidR="006649DC" w:rsidRPr="005464B6" w:rsidTr="005A3A1F">
        <w:trPr>
          <w:trHeight w:val="417"/>
          <w:tblCellSpacing w:w="15" w:type="dxa"/>
        </w:trPr>
        <w:tc>
          <w:tcPr>
            <w:tcW w:w="865" w:type="pct"/>
            <w:tcBorders>
              <w:top w:val="outset" w:sz="6" w:space="0" w:color="auto"/>
              <w:bottom w:val="outset" w:sz="6" w:space="0" w:color="auto"/>
              <w:right w:val="outset" w:sz="6" w:space="0" w:color="auto"/>
            </w:tcBorders>
            <w:tcMar>
              <w:top w:w="15" w:type="dxa"/>
              <w:left w:w="15" w:type="dxa"/>
              <w:bottom w:w="15" w:type="dxa"/>
              <w:right w:w="15" w:type="dxa"/>
            </w:tcMar>
          </w:tcPr>
          <w:p w:rsidR="006649DC" w:rsidRPr="005464B6" w:rsidRDefault="006649DC" w:rsidP="00901D98">
            <w:pPr>
              <w:pStyle w:val="NormalWeb"/>
              <w:spacing w:beforeAutospacing="0" w:afterAutospacing="0"/>
              <w:jc w:val="center"/>
              <w:rPr>
                <w:rFonts w:ascii="Bookman Old Style" w:hAnsi="Bookman Old Style"/>
                <w:sz w:val="20"/>
                <w:szCs w:val="20"/>
              </w:rPr>
            </w:pPr>
            <w:r>
              <w:rPr>
                <w:rFonts w:ascii="Bookman Old Style" w:hAnsi="Bookman Old Style"/>
                <w:sz w:val="20"/>
                <w:szCs w:val="20"/>
              </w:rPr>
              <w:t>febbraio 2017</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31049B" w:rsidRDefault="006649DC" w:rsidP="00901D98">
            <w:pPr>
              <w:pStyle w:val="NormalWeb"/>
              <w:spacing w:beforeAutospacing="0" w:afterAutospacing="0"/>
              <w:jc w:val="center"/>
              <w:rPr>
                <w:rFonts w:ascii="Bookman Old Style" w:hAnsi="Bookman Old Style"/>
                <w:bCs/>
                <w:sz w:val="22"/>
                <w:szCs w:val="22"/>
              </w:rPr>
            </w:pPr>
            <w:r w:rsidRPr="0031049B">
              <w:rPr>
                <w:rFonts w:ascii="Bookman Old Style" w:hAnsi="Bookman Old Style"/>
                <w:bCs/>
                <w:sz w:val="22"/>
                <w:szCs w:val="22"/>
              </w:rPr>
              <w:t>15.02.2017</w:t>
            </w:r>
          </w:p>
        </w:tc>
        <w:tc>
          <w:tcPr>
            <w:tcW w:w="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31049B" w:rsidRDefault="006649DC" w:rsidP="00901D98">
            <w:pPr>
              <w:pStyle w:val="NormalWeb"/>
              <w:spacing w:beforeAutospacing="0" w:afterAutospacing="0"/>
              <w:jc w:val="center"/>
              <w:rPr>
                <w:rFonts w:ascii="Bookman Old Style" w:hAnsi="Bookman Old Style"/>
                <w:bCs/>
                <w:sz w:val="22"/>
                <w:szCs w:val="22"/>
              </w:rPr>
            </w:pPr>
            <w:r w:rsidRPr="0031049B">
              <w:rPr>
                <w:rFonts w:ascii="Bookman Old Style" w:hAnsi="Bookman Old Style"/>
                <w:bCs/>
                <w:sz w:val="22"/>
                <w:szCs w:val="22"/>
              </w:rPr>
              <w:t>14.03.2017</w:t>
            </w:r>
          </w:p>
        </w:tc>
        <w:tc>
          <w:tcPr>
            <w:tcW w:w="7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31049B" w:rsidRDefault="006649DC" w:rsidP="00901D98">
            <w:pPr>
              <w:pStyle w:val="NormalWeb"/>
              <w:spacing w:beforeAutospacing="0" w:afterAutospacing="0"/>
              <w:jc w:val="center"/>
              <w:rPr>
                <w:rFonts w:ascii="Bookman Old Style" w:hAnsi="Bookman Old Style"/>
                <w:bCs/>
                <w:sz w:val="22"/>
                <w:szCs w:val="22"/>
              </w:rPr>
            </w:pPr>
            <w:r w:rsidRPr="0031049B">
              <w:rPr>
                <w:rFonts w:ascii="Bookman Old Style" w:hAnsi="Bookman Old Style"/>
                <w:bCs/>
                <w:sz w:val="22"/>
                <w:szCs w:val="22"/>
              </w:rPr>
              <w:t>101,00</w:t>
            </w:r>
          </w:p>
        </w:tc>
        <w:tc>
          <w:tcPr>
            <w:tcW w:w="9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31049B" w:rsidRDefault="006649DC" w:rsidP="00901D98">
            <w:pPr>
              <w:pStyle w:val="NormalWeb"/>
              <w:spacing w:beforeAutospacing="0" w:afterAutospacing="0"/>
              <w:jc w:val="center"/>
              <w:rPr>
                <w:rFonts w:ascii="Bookman Old Style" w:hAnsi="Bookman Old Style"/>
                <w:bCs/>
                <w:sz w:val="22"/>
                <w:szCs w:val="22"/>
              </w:rPr>
            </w:pPr>
            <w:r w:rsidRPr="0031049B">
              <w:rPr>
                <w:rFonts w:ascii="Bookman Old Style" w:hAnsi="Bookman Old Style"/>
                <w:bCs/>
                <w:sz w:val="22"/>
                <w:szCs w:val="22"/>
              </w:rPr>
              <w:t>0,77343</w:t>
            </w:r>
          </w:p>
        </w:tc>
        <w:tc>
          <w:tcPr>
            <w:tcW w:w="971" w:type="pct"/>
            <w:tcBorders>
              <w:top w:val="outset" w:sz="6" w:space="0" w:color="auto"/>
              <w:left w:val="outset" w:sz="6" w:space="0" w:color="auto"/>
              <w:bottom w:val="outset" w:sz="6" w:space="0" w:color="auto"/>
            </w:tcBorders>
            <w:tcMar>
              <w:top w:w="15" w:type="dxa"/>
              <w:left w:w="15" w:type="dxa"/>
              <w:bottom w:w="15" w:type="dxa"/>
              <w:right w:w="15" w:type="dxa"/>
            </w:tcMar>
          </w:tcPr>
          <w:p w:rsidR="006649DC" w:rsidRPr="0031049B" w:rsidRDefault="006649DC" w:rsidP="00901D98">
            <w:pPr>
              <w:pStyle w:val="NormalWeb"/>
              <w:spacing w:beforeAutospacing="0" w:afterAutospacing="0"/>
              <w:jc w:val="center"/>
              <w:rPr>
                <w:rFonts w:ascii="Bookman Old Style" w:hAnsi="Bookman Old Style"/>
                <w:bCs/>
                <w:sz w:val="22"/>
                <w:szCs w:val="22"/>
              </w:rPr>
            </w:pPr>
            <w:r w:rsidRPr="0031049B">
              <w:rPr>
                <w:rFonts w:ascii="Bookman Old Style" w:hAnsi="Bookman Old Style"/>
                <w:bCs/>
                <w:sz w:val="22"/>
                <w:szCs w:val="22"/>
              </w:rPr>
              <w:t>1,0077343</w:t>
            </w:r>
          </w:p>
        </w:tc>
      </w:tr>
      <w:tr w:rsidR="006649DC" w:rsidRPr="00E51899" w:rsidTr="005A3A1F">
        <w:trPr>
          <w:trHeight w:val="431"/>
          <w:tblCellSpacing w:w="15" w:type="dxa"/>
        </w:trPr>
        <w:tc>
          <w:tcPr>
            <w:tcW w:w="865" w:type="pct"/>
            <w:tcBorders>
              <w:top w:val="outset" w:sz="6" w:space="0" w:color="auto"/>
              <w:bottom w:val="outset" w:sz="6" w:space="0" w:color="auto"/>
              <w:right w:val="outset" w:sz="6" w:space="0" w:color="auto"/>
            </w:tcBorders>
            <w:tcMar>
              <w:top w:w="15" w:type="dxa"/>
              <w:left w:w="15" w:type="dxa"/>
              <w:bottom w:w="15" w:type="dxa"/>
              <w:right w:w="15" w:type="dxa"/>
            </w:tcMar>
          </w:tcPr>
          <w:p w:rsidR="006649DC" w:rsidRPr="00893757" w:rsidRDefault="006649DC" w:rsidP="00901D98">
            <w:pPr>
              <w:pStyle w:val="NormalWeb"/>
              <w:spacing w:beforeAutospacing="0" w:afterAutospacing="0"/>
              <w:jc w:val="center"/>
              <w:rPr>
                <w:rFonts w:ascii="Bookman Old Style" w:hAnsi="Bookman Old Style"/>
                <w:sz w:val="20"/>
                <w:szCs w:val="20"/>
              </w:rPr>
            </w:pPr>
            <w:r w:rsidRPr="00893757">
              <w:rPr>
                <w:rFonts w:ascii="Bookman Old Style" w:hAnsi="Bookman Old Style"/>
                <w:sz w:val="20"/>
                <w:szCs w:val="20"/>
              </w:rPr>
              <w:t>marzo 2017</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893757" w:rsidRDefault="006649DC" w:rsidP="0031049B">
            <w:pPr>
              <w:pStyle w:val="NormalWeb"/>
              <w:spacing w:beforeAutospacing="0" w:afterAutospacing="0"/>
              <w:jc w:val="center"/>
              <w:rPr>
                <w:rFonts w:ascii="Bookman Old Style" w:hAnsi="Bookman Old Style"/>
                <w:bCs/>
                <w:sz w:val="22"/>
                <w:szCs w:val="22"/>
              </w:rPr>
            </w:pPr>
            <w:r w:rsidRPr="00893757">
              <w:rPr>
                <w:rFonts w:ascii="Bookman Old Style" w:hAnsi="Bookman Old Style"/>
                <w:bCs/>
                <w:sz w:val="22"/>
                <w:szCs w:val="22"/>
              </w:rPr>
              <w:t>15.03.2017</w:t>
            </w:r>
          </w:p>
        </w:tc>
        <w:tc>
          <w:tcPr>
            <w:tcW w:w="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893757" w:rsidRDefault="006649DC" w:rsidP="00901D98">
            <w:pPr>
              <w:pStyle w:val="NormalWeb"/>
              <w:spacing w:beforeAutospacing="0" w:afterAutospacing="0"/>
              <w:jc w:val="center"/>
              <w:rPr>
                <w:rFonts w:ascii="Bookman Old Style" w:hAnsi="Bookman Old Style"/>
                <w:bCs/>
                <w:sz w:val="22"/>
                <w:szCs w:val="22"/>
              </w:rPr>
            </w:pPr>
            <w:r w:rsidRPr="00893757">
              <w:rPr>
                <w:rFonts w:ascii="Bookman Old Style" w:hAnsi="Bookman Old Style"/>
                <w:bCs/>
                <w:sz w:val="22"/>
                <w:szCs w:val="22"/>
              </w:rPr>
              <w:t>14.04.2017</w:t>
            </w:r>
          </w:p>
        </w:tc>
        <w:tc>
          <w:tcPr>
            <w:tcW w:w="7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893757" w:rsidRDefault="006649DC" w:rsidP="00901D98">
            <w:pPr>
              <w:pStyle w:val="NormalWeb"/>
              <w:spacing w:beforeAutospacing="0" w:afterAutospacing="0"/>
              <w:jc w:val="center"/>
              <w:rPr>
                <w:rFonts w:ascii="Bookman Old Style" w:hAnsi="Bookman Old Style"/>
                <w:bCs/>
                <w:sz w:val="22"/>
                <w:szCs w:val="22"/>
              </w:rPr>
            </w:pPr>
            <w:r w:rsidRPr="00893757">
              <w:rPr>
                <w:rFonts w:ascii="Bookman Old Style" w:hAnsi="Bookman Old Style"/>
                <w:bCs/>
                <w:sz w:val="22"/>
                <w:szCs w:val="22"/>
              </w:rPr>
              <w:t>101,00</w:t>
            </w:r>
          </w:p>
        </w:tc>
        <w:tc>
          <w:tcPr>
            <w:tcW w:w="9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893757" w:rsidRDefault="006649DC" w:rsidP="00901D98">
            <w:pPr>
              <w:pStyle w:val="NormalWeb"/>
              <w:spacing w:beforeAutospacing="0" w:afterAutospacing="0"/>
              <w:jc w:val="center"/>
              <w:rPr>
                <w:rFonts w:ascii="Bookman Old Style" w:hAnsi="Bookman Old Style"/>
                <w:bCs/>
                <w:sz w:val="22"/>
                <w:szCs w:val="22"/>
              </w:rPr>
            </w:pPr>
            <w:r w:rsidRPr="00893757">
              <w:rPr>
                <w:rFonts w:ascii="Bookman Old Style" w:hAnsi="Bookman Old Style"/>
                <w:bCs/>
                <w:sz w:val="22"/>
                <w:szCs w:val="22"/>
              </w:rPr>
              <w:t>0,898430</w:t>
            </w:r>
          </w:p>
        </w:tc>
        <w:tc>
          <w:tcPr>
            <w:tcW w:w="971" w:type="pct"/>
            <w:tcBorders>
              <w:top w:val="outset" w:sz="6" w:space="0" w:color="auto"/>
              <w:left w:val="outset" w:sz="6" w:space="0" w:color="auto"/>
              <w:bottom w:val="outset" w:sz="6" w:space="0" w:color="auto"/>
            </w:tcBorders>
            <w:tcMar>
              <w:top w:w="15" w:type="dxa"/>
              <w:left w:w="15" w:type="dxa"/>
              <w:bottom w:w="15" w:type="dxa"/>
              <w:right w:w="15" w:type="dxa"/>
            </w:tcMar>
          </w:tcPr>
          <w:p w:rsidR="006649DC" w:rsidRPr="00893757" w:rsidRDefault="006649DC" w:rsidP="00901D98">
            <w:pPr>
              <w:pStyle w:val="NormalWeb"/>
              <w:spacing w:beforeAutospacing="0" w:afterAutospacing="0"/>
              <w:jc w:val="center"/>
              <w:rPr>
                <w:rFonts w:ascii="Bookman Old Style" w:hAnsi="Bookman Old Style"/>
                <w:bCs/>
                <w:sz w:val="22"/>
                <w:szCs w:val="22"/>
              </w:rPr>
            </w:pPr>
            <w:r w:rsidRPr="00893757">
              <w:rPr>
                <w:rFonts w:ascii="Bookman Old Style" w:hAnsi="Bookman Old Style"/>
                <w:bCs/>
                <w:sz w:val="22"/>
                <w:szCs w:val="22"/>
              </w:rPr>
              <w:t>1,0089843</w:t>
            </w:r>
          </w:p>
        </w:tc>
      </w:tr>
      <w:tr w:rsidR="006649DC" w:rsidRPr="005464B6" w:rsidTr="005A3A1F">
        <w:trPr>
          <w:trHeight w:val="417"/>
          <w:tblCellSpacing w:w="15" w:type="dxa"/>
        </w:trPr>
        <w:tc>
          <w:tcPr>
            <w:tcW w:w="865" w:type="pct"/>
            <w:tcBorders>
              <w:top w:val="outset" w:sz="6" w:space="0" w:color="auto"/>
              <w:bottom w:val="outset" w:sz="6" w:space="0" w:color="auto"/>
              <w:right w:val="outset" w:sz="6" w:space="0" w:color="auto"/>
            </w:tcBorders>
            <w:tcMar>
              <w:top w:w="15" w:type="dxa"/>
              <w:left w:w="15" w:type="dxa"/>
              <w:bottom w:w="15" w:type="dxa"/>
              <w:right w:w="15" w:type="dxa"/>
            </w:tcMar>
          </w:tcPr>
          <w:p w:rsidR="006649DC" w:rsidRPr="00851241" w:rsidRDefault="006649DC" w:rsidP="00901D98">
            <w:pPr>
              <w:pStyle w:val="NormalWeb"/>
              <w:spacing w:beforeAutospacing="0" w:afterAutospacing="0"/>
              <w:jc w:val="center"/>
              <w:rPr>
                <w:rFonts w:ascii="Bookman Old Style" w:hAnsi="Bookman Old Style"/>
                <w:bCs/>
                <w:sz w:val="20"/>
                <w:szCs w:val="20"/>
              </w:rPr>
            </w:pPr>
            <w:r w:rsidRPr="00851241">
              <w:rPr>
                <w:rFonts w:ascii="Bookman Old Style" w:hAnsi="Bookman Old Style"/>
                <w:bCs/>
                <w:sz w:val="20"/>
                <w:szCs w:val="20"/>
              </w:rPr>
              <w:t>aprile 2017</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851241" w:rsidRDefault="006649DC" w:rsidP="00901D98">
            <w:pPr>
              <w:pStyle w:val="NormalWeb"/>
              <w:spacing w:beforeAutospacing="0" w:afterAutospacing="0"/>
              <w:jc w:val="center"/>
              <w:rPr>
                <w:rFonts w:ascii="Bookman Old Style" w:hAnsi="Bookman Old Style"/>
                <w:bCs/>
                <w:sz w:val="22"/>
                <w:szCs w:val="22"/>
              </w:rPr>
            </w:pPr>
            <w:r w:rsidRPr="00851241">
              <w:rPr>
                <w:rFonts w:ascii="Bookman Old Style" w:hAnsi="Bookman Old Style"/>
                <w:bCs/>
                <w:sz w:val="22"/>
                <w:szCs w:val="22"/>
              </w:rPr>
              <w:t>15.04.2017</w:t>
            </w:r>
          </w:p>
        </w:tc>
        <w:tc>
          <w:tcPr>
            <w:tcW w:w="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851241" w:rsidRDefault="006649DC" w:rsidP="00901D98">
            <w:pPr>
              <w:pStyle w:val="NormalWeb"/>
              <w:spacing w:beforeAutospacing="0" w:afterAutospacing="0"/>
              <w:jc w:val="center"/>
              <w:rPr>
                <w:rFonts w:ascii="Bookman Old Style" w:hAnsi="Bookman Old Style"/>
                <w:bCs/>
                <w:sz w:val="22"/>
                <w:szCs w:val="22"/>
              </w:rPr>
            </w:pPr>
            <w:r w:rsidRPr="00851241">
              <w:rPr>
                <w:rFonts w:ascii="Bookman Old Style" w:hAnsi="Bookman Old Style"/>
                <w:bCs/>
                <w:sz w:val="22"/>
                <w:szCs w:val="22"/>
              </w:rPr>
              <w:t>14.05.2017</w:t>
            </w:r>
          </w:p>
        </w:tc>
        <w:tc>
          <w:tcPr>
            <w:tcW w:w="7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851241" w:rsidRDefault="006649DC" w:rsidP="00901D98">
            <w:pPr>
              <w:pStyle w:val="NormalWeb"/>
              <w:spacing w:beforeAutospacing="0" w:afterAutospacing="0"/>
              <w:jc w:val="center"/>
              <w:rPr>
                <w:rFonts w:ascii="Bookman Old Style" w:hAnsi="Bookman Old Style"/>
                <w:bCs/>
                <w:sz w:val="22"/>
                <w:szCs w:val="22"/>
              </w:rPr>
            </w:pPr>
            <w:r w:rsidRPr="00851241">
              <w:rPr>
                <w:rFonts w:ascii="Bookman Old Style" w:hAnsi="Bookman Old Style"/>
                <w:bCs/>
                <w:sz w:val="22"/>
                <w:szCs w:val="22"/>
              </w:rPr>
              <w:t>101,30</w:t>
            </w:r>
          </w:p>
        </w:tc>
        <w:tc>
          <w:tcPr>
            <w:tcW w:w="9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851241" w:rsidRDefault="006649DC" w:rsidP="00893757">
            <w:pPr>
              <w:pStyle w:val="NormalWeb"/>
              <w:spacing w:beforeAutospacing="0" w:afterAutospacing="0"/>
              <w:jc w:val="center"/>
              <w:rPr>
                <w:rFonts w:ascii="Bookman Old Style" w:hAnsi="Bookman Old Style"/>
                <w:bCs/>
                <w:sz w:val="22"/>
                <w:szCs w:val="22"/>
              </w:rPr>
            </w:pPr>
            <w:r w:rsidRPr="00851241">
              <w:rPr>
                <w:rFonts w:ascii="Bookman Old Style" w:hAnsi="Bookman Old Style"/>
                <w:bCs/>
                <w:sz w:val="22"/>
                <w:szCs w:val="22"/>
              </w:rPr>
              <w:t>1,24775673</w:t>
            </w:r>
          </w:p>
        </w:tc>
        <w:tc>
          <w:tcPr>
            <w:tcW w:w="971" w:type="pct"/>
            <w:tcBorders>
              <w:top w:val="outset" w:sz="6" w:space="0" w:color="auto"/>
              <w:left w:val="outset" w:sz="6" w:space="0" w:color="auto"/>
              <w:bottom w:val="outset" w:sz="6" w:space="0" w:color="auto"/>
            </w:tcBorders>
            <w:tcMar>
              <w:top w:w="15" w:type="dxa"/>
              <w:left w:w="15" w:type="dxa"/>
              <w:bottom w:w="15" w:type="dxa"/>
              <w:right w:w="15" w:type="dxa"/>
            </w:tcMar>
          </w:tcPr>
          <w:p w:rsidR="006649DC" w:rsidRPr="00851241" w:rsidRDefault="006649DC" w:rsidP="00893757">
            <w:pPr>
              <w:pStyle w:val="NormalWeb"/>
              <w:spacing w:beforeAutospacing="0" w:afterAutospacing="0"/>
              <w:jc w:val="center"/>
              <w:rPr>
                <w:rFonts w:ascii="Bookman Old Style" w:hAnsi="Bookman Old Style"/>
                <w:bCs/>
                <w:sz w:val="22"/>
                <w:szCs w:val="22"/>
              </w:rPr>
            </w:pPr>
            <w:r w:rsidRPr="00851241">
              <w:rPr>
                <w:rFonts w:ascii="Bookman Old Style" w:hAnsi="Bookman Old Style"/>
                <w:bCs/>
                <w:sz w:val="22"/>
                <w:szCs w:val="22"/>
              </w:rPr>
              <w:t>1,01247757</w:t>
            </w:r>
          </w:p>
        </w:tc>
      </w:tr>
      <w:tr w:rsidR="006649DC" w:rsidRPr="00851241" w:rsidTr="005A3A1F">
        <w:trPr>
          <w:trHeight w:val="431"/>
          <w:tblCellSpacing w:w="15" w:type="dxa"/>
        </w:trPr>
        <w:tc>
          <w:tcPr>
            <w:tcW w:w="865" w:type="pct"/>
            <w:tcBorders>
              <w:top w:val="outset" w:sz="6" w:space="0" w:color="auto"/>
              <w:bottom w:val="outset" w:sz="6" w:space="0" w:color="auto"/>
              <w:right w:val="outset" w:sz="6" w:space="0" w:color="auto"/>
            </w:tcBorders>
            <w:tcMar>
              <w:top w:w="15" w:type="dxa"/>
              <w:left w:w="15" w:type="dxa"/>
              <w:bottom w:w="15" w:type="dxa"/>
              <w:right w:w="15" w:type="dxa"/>
            </w:tcMar>
          </w:tcPr>
          <w:p w:rsidR="006649DC" w:rsidRPr="00866A0C" w:rsidRDefault="006649DC" w:rsidP="00851241">
            <w:pPr>
              <w:pStyle w:val="NormalWeb"/>
              <w:spacing w:beforeAutospacing="0" w:afterAutospacing="0"/>
              <w:jc w:val="center"/>
              <w:rPr>
                <w:rFonts w:ascii="Bookman Old Style" w:hAnsi="Bookman Old Style"/>
                <w:bCs/>
                <w:sz w:val="20"/>
                <w:szCs w:val="20"/>
              </w:rPr>
            </w:pPr>
            <w:r w:rsidRPr="00866A0C">
              <w:rPr>
                <w:rFonts w:ascii="Bookman Old Style" w:hAnsi="Bookman Old Style"/>
                <w:bCs/>
                <w:sz w:val="20"/>
                <w:szCs w:val="20"/>
              </w:rPr>
              <w:t>maggio 2017</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866A0C" w:rsidRDefault="006649DC" w:rsidP="00851241">
            <w:pPr>
              <w:pStyle w:val="NormalWeb"/>
              <w:spacing w:beforeAutospacing="0" w:afterAutospacing="0"/>
              <w:jc w:val="center"/>
              <w:rPr>
                <w:rFonts w:ascii="Bookman Old Style" w:hAnsi="Bookman Old Style"/>
                <w:bCs/>
                <w:sz w:val="22"/>
                <w:szCs w:val="22"/>
              </w:rPr>
            </w:pPr>
            <w:r w:rsidRPr="00866A0C">
              <w:rPr>
                <w:rFonts w:ascii="Bookman Old Style" w:hAnsi="Bookman Old Style"/>
                <w:bCs/>
                <w:sz w:val="22"/>
                <w:szCs w:val="22"/>
              </w:rPr>
              <w:t>15.05.2017</w:t>
            </w:r>
          </w:p>
        </w:tc>
        <w:tc>
          <w:tcPr>
            <w:tcW w:w="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866A0C" w:rsidRDefault="006649DC" w:rsidP="00851241">
            <w:pPr>
              <w:pStyle w:val="NormalWeb"/>
              <w:spacing w:beforeAutospacing="0" w:afterAutospacing="0"/>
              <w:jc w:val="center"/>
              <w:rPr>
                <w:rFonts w:ascii="Bookman Old Style" w:hAnsi="Bookman Old Style"/>
                <w:bCs/>
                <w:sz w:val="22"/>
                <w:szCs w:val="22"/>
              </w:rPr>
            </w:pPr>
            <w:r w:rsidRPr="00866A0C">
              <w:rPr>
                <w:rFonts w:ascii="Bookman Old Style" w:hAnsi="Bookman Old Style"/>
                <w:bCs/>
                <w:sz w:val="22"/>
                <w:szCs w:val="22"/>
              </w:rPr>
              <w:t>14.06.2017</w:t>
            </w:r>
          </w:p>
        </w:tc>
        <w:tc>
          <w:tcPr>
            <w:tcW w:w="7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866A0C" w:rsidRDefault="006649DC" w:rsidP="00851241">
            <w:pPr>
              <w:pStyle w:val="NormalWeb"/>
              <w:spacing w:beforeAutospacing="0" w:afterAutospacing="0"/>
              <w:jc w:val="center"/>
              <w:rPr>
                <w:rFonts w:ascii="Bookman Old Style" w:hAnsi="Bookman Old Style"/>
                <w:bCs/>
                <w:sz w:val="22"/>
                <w:szCs w:val="22"/>
              </w:rPr>
            </w:pPr>
            <w:r w:rsidRPr="00866A0C">
              <w:rPr>
                <w:rFonts w:ascii="Bookman Old Style" w:hAnsi="Bookman Old Style"/>
                <w:bCs/>
                <w:sz w:val="22"/>
                <w:szCs w:val="22"/>
              </w:rPr>
              <w:t>101,10</w:t>
            </w:r>
          </w:p>
        </w:tc>
        <w:tc>
          <w:tcPr>
            <w:tcW w:w="9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866A0C" w:rsidRDefault="006649DC" w:rsidP="00851241">
            <w:pPr>
              <w:pStyle w:val="NormalWeb"/>
              <w:spacing w:beforeAutospacing="0" w:afterAutospacing="0"/>
              <w:jc w:val="center"/>
              <w:rPr>
                <w:rFonts w:ascii="Bookman Old Style" w:hAnsi="Bookman Old Style"/>
                <w:bCs/>
                <w:sz w:val="22"/>
                <w:szCs w:val="22"/>
              </w:rPr>
            </w:pPr>
            <w:r w:rsidRPr="00866A0C">
              <w:rPr>
                <w:rFonts w:ascii="Bookman Old Style" w:hAnsi="Bookman Old Style"/>
                <w:bCs/>
                <w:sz w:val="22"/>
                <w:szCs w:val="22"/>
              </w:rPr>
              <w:t>1,22320539</w:t>
            </w:r>
          </w:p>
        </w:tc>
        <w:tc>
          <w:tcPr>
            <w:tcW w:w="971" w:type="pct"/>
            <w:tcBorders>
              <w:top w:val="outset" w:sz="6" w:space="0" w:color="auto"/>
              <w:left w:val="outset" w:sz="6" w:space="0" w:color="auto"/>
              <w:bottom w:val="outset" w:sz="6" w:space="0" w:color="auto"/>
            </w:tcBorders>
            <w:tcMar>
              <w:top w:w="15" w:type="dxa"/>
              <w:left w:w="15" w:type="dxa"/>
              <w:bottom w:w="15" w:type="dxa"/>
              <w:right w:w="15" w:type="dxa"/>
            </w:tcMar>
          </w:tcPr>
          <w:p w:rsidR="006649DC" w:rsidRPr="00866A0C" w:rsidRDefault="006649DC" w:rsidP="00851241">
            <w:pPr>
              <w:pStyle w:val="NormalWeb"/>
              <w:spacing w:beforeAutospacing="0" w:afterAutospacing="0"/>
              <w:jc w:val="center"/>
              <w:rPr>
                <w:rFonts w:ascii="Bookman Old Style" w:hAnsi="Bookman Old Style"/>
                <w:bCs/>
                <w:sz w:val="22"/>
                <w:szCs w:val="22"/>
              </w:rPr>
            </w:pPr>
            <w:r w:rsidRPr="00866A0C">
              <w:rPr>
                <w:rFonts w:ascii="Bookman Old Style" w:hAnsi="Bookman Old Style"/>
                <w:bCs/>
                <w:sz w:val="22"/>
                <w:szCs w:val="22"/>
              </w:rPr>
              <w:t>1,01223205</w:t>
            </w:r>
          </w:p>
        </w:tc>
      </w:tr>
      <w:tr w:rsidR="006649DC" w:rsidRPr="005464B6" w:rsidTr="005A3A1F">
        <w:trPr>
          <w:trHeight w:val="417"/>
          <w:tblCellSpacing w:w="15" w:type="dxa"/>
        </w:trPr>
        <w:tc>
          <w:tcPr>
            <w:tcW w:w="865" w:type="pct"/>
            <w:tcBorders>
              <w:top w:val="outset" w:sz="6" w:space="0" w:color="auto"/>
              <w:bottom w:val="outset" w:sz="6" w:space="0" w:color="auto"/>
              <w:right w:val="outset" w:sz="6" w:space="0" w:color="auto"/>
            </w:tcBorders>
            <w:tcMar>
              <w:top w:w="15" w:type="dxa"/>
              <w:left w:w="15" w:type="dxa"/>
              <w:bottom w:w="15" w:type="dxa"/>
              <w:right w:w="15" w:type="dxa"/>
            </w:tcMar>
          </w:tcPr>
          <w:p w:rsidR="006649DC" w:rsidRPr="005464B6" w:rsidRDefault="006649DC" w:rsidP="00866A0C">
            <w:pPr>
              <w:pStyle w:val="NormalWeb"/>
              <w:spacing w:beforeAutospacing="0" w:afterAutospacing="0"/>
              <w:jc w:val="center"/>
              <w:rPr>
                <w:rFonts w:ascii="Bookman Old Style" w:hAnsi="Bookman Old Style"/>
                <w:bCs/>
                <w:sz w:val="20"/>
                <w:szCs w:val="20"/>
              </w:rPr>
            </w:pPr>
            <w:r>
              <w:rPr>
                <w:rFonts w:ascii="Bookman Old Style" w:hAnsi="Bookman Old Style"/>
                <w:bCs/>
                <w:sz w:val="20"/>
                <w:szCs w:val="20"/>
              </w:rPr>
              <w:t>giugno 2017</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866A0C" w:rsidRDefault="006649DC" w:rsidP="00866A0C">
            <w:pPr>
              <w:pStyle w:val="NormalWeb"/>
              <w:spacing w:beforeAutospacing="0" w:afterAutospacing="0"/>
              <w:jc w:val="center"/>
              <w:rPr>
                <w:rFonts w:ascii="Bookman Old Style" w:hAnsi="Bookman Old Style"/>
                <w:bCs/>
                <w:sz w:val="22"/>
                <w:szCs w:val="22"/>
              </w:rPr>
            </w:pPr>
            <w:r w:rsidRPr="00866A0C">
              <w:rPr>
                <w:rFonts w:ascii="Bookman Old Style" w:hAnsi="Bookman Old Style"/>
                <w:bCs/>
                <w:sz w:val="22"/>
                <w:szCs w:val="22"/>
              </w:rPr>
              <w:t>15.0</w:t>
            </w:r>
            <w:r>
              <w:rPr>
                <w:rFonts w:ascii="Bookman Old Style" w:hAnsi="Bookman Old Style"/>
                <w:bCs/>
                <w:sz w:val="22"/>
                <w:szCs w:val="22"/>
              </w:rPr>
              <w:t>6</w:t>
            </w:r>
            <w:r w:rsidRPr="00866A0C">
              <w:rPr>
                <w:rFonts w:ascii="Bookman Old Style" w:hAnsi="Bookman Old Style"/>
                <w:bCs/>
                <w:sz w:val="22"/>
                <w:szCs w:val="22"/>
              </w:rPr>
              <w:t>.2017</w:t>
            </w:r>
          </w:p>
        </w:tc>
        <w:tc>
          <w:tcPr>
            <w:tcW w:w="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866A0C" w:rsidRDefault="006649DC" w:rsidP="00866A0C">
            <w:pPr>
              <w:pStyle w:val="NormalWeb"/>
              <w:spacing w:beforeAutospacing="0" w:afterAutospacing="0"/>
              <w:jc w:val="center"/>
              <w:rPr>
                <w:rFonts w:ascii="Bookman Old Style" w:hAnsi="Bookman Old Style"/>
                <w:bCs/>
                <w:sz w:val="22"/>
                <w:szCs w:val="22"/>
              </w:rPr>
            </w:pPr>
            <w:r w:rsidRPr="00866A0C">
              <w:rPr>
                <w:rFonts w:ascii="Bookman Old Style" w:hAnsi="Bookman Old Style"/>
                <w:bCs/>
                <w:sz w:val="22"/>
                <w:szCs w:val="22"/>
              </w:rPr>
              <w:t>14.0</w:t>
            </w:r>
            <w:r>
              <w:rPr>
                <w:rFonts w:ascii="Bookman Old Style" w:hAnsi="Bookman Old Style"/>
                <w:bCs/>
                <w:sz w:val="22"/>
                <w:szCs w:val="22"/>
              </w:rPr>
              <w:t>7</w:t>
            </w:r>
            <w:r w:rsidRPr="00866A0C">
              <w:rPr>
                <w:rFonts w:ascii="Bookman Old Style" w:hAnsi="Bookman Old Style"/>
                <w:bCs/>
                <w:sz w:val="22"/>
                <w:szCs w:val="22"/>
              </w:rPr>
              <w:t>.2017</w:t>
            </w:r>
          </w:p>
        </w:tc>
        <w:tc>
          <w:tcPr>
            <w:tcW w:w="7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5464B6" w:rsidRDefault="006649DC" w:rsidP="00866A0C">
            <w:pPr>
              <w:pStyle w:val="NormalWeb"/>
              <w:spacing w:beforeAutospacing="0" w:afterAutospacing="0"/>
              <w:jc w:val="center"/>
              <w:rPr>
                <w:rFonts w:ascii="Bookman Old Style" w:hAnsi="Bookman Old Style"/>
                <w:bCs/>
                <w:sz w:val="22"/>
                <w:szCs w:val="22"/>
              </w:rPr>
            </w:pPr>
            <w:r w:rsidRPr="00866A0C">
              <w:rPr>
                <w:rFonts w:ascii="Bookman Old Style" w:hAnsi="Bookman Old Style"/>
                <w:bCs/>
                <w:sz w:val="22"/>
                <w:szCs w:val="22"/>
              </w:rPr>
              <w:t>101,00</w:t>
            </w:r>
          </w:p>
        </w:tc>
        <w:tc>
          <w:tcPr>
            <w:tcW w:w="9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5464B6" w:rsidRDefault="006649DC" w:rsidP="00866A0C">
            <w:pPr>
              <w:pStyle w:val="NormalWeb"/>
              <w:spacing w:beforeAutospacing="0" w:afterAutospacing="0"/>
              <w:jc w:val="center"/>
              <w:rPr>
                <w:rFonts w:ascii="Bookman Old Style" w:hAnsi="Bookman Old Style"/>
                <w:bCs/>
                <w:sz w:val="22"/>
                <w:szCs w:val="22"/>
              </w:rPr>
            </w:pPr>
            <w:r w:rsidRPr="00866A0C">
              <w:rPr>
                <w:rFonts w:ascii="Bookman Old Style" w:hAnsi="Bookman Old Style"/>
                <w:bCs/>
                <w:sz w:val="22"/>
                <w:szCs w:val="22"/>
              </w:rPr>
              <w:t>1,27342971</w:t>
            </w:r>
          </w:p>
        </w:tc>
        <w:tc>
          <w:tcPr>
            <w:tcW w:w="971" w:type="pct"/>
            <w:tcBorders>
              <w:top w:val="outset" w:sz="6" w:space="0" w:color="auto"/>
              <w:left w:val="outset" w:sz="6" w:space="0" w:color="auto"/>
              <w:bottom w:val="outset" w:sz="6" w:space="0" w:color="auto"/>
            </w:tcBorders>
            <w:tcMar>
              <w:top w:w="15" w:type="dxa"/>
              <w:left w:w="15" w:type="dxa"/>
              <w:bottom w:w="15" w:type="dxa"/>
              <w:right w:w="15" w:type="dxa"/>
            </w:tcMar>
          </w:tcPr>
          <w:p w:rsidR="006649DC" w:rsidRPr="005464B6" w:rsidRDefault="006649DC" w:rsidP="00866A0C">
            <w:pPr>
              <w:pStyle w:val="NormalWeb"/>
              <w:spacing w:beforeAutospacing="0" w:afterAutospacing="0"/>
              <w:jc w:val="center"/>
              <w:rPr>
                <w:rFonts w:ascii="Bookman Old Style" w:hAnsi="Bookman Old Style"/>
                <w:bCs/>
                <w:sz w:val="22"/>
                <w:szCs w:val="22"/>
              </w:rPr>
            </w:pPr>
            <w:r w:rsidRPr="00866A0C">
              <w:rPr>
                <w:rFonts w:ascii="Bookman Old Style" w:hAnsi="Bookman Old Style"/>
                <w:bCs/>
                <w:sz w:val="22"/>
                <w:szCs w:val="22"/>
              </w:rPr>
              <w:t>1,01273430</w:t>
            </w:r>
          </w:p>
        </w:tc>
      </w:tr>
      <w:tr w:rsidR="006649DC" w:rsidRPr="001904CB" w:rsidTr="005A3A1F">
        <w:trPr>
          <w:trHeight w:val="282"/>
          <w:tblCellSpacing w:w="15" w:type="dxa"/>
        </w:trPr>
        <w:tc>
          <w:tcPr>
            <w:tcW w:w="865" w:type="pct"/>
            <w:tcBorders>
              <w:top w:val="outset" w:sz="6" w:space="0" w:color="auto"/>
              <w:bottom w:val="outset" w:sz="6" w:space="0" w:color="auto"/>
              <w:right w:val="outset" w:sz="6" w:space="0" w:color="auto"/>
            </w:tcBorders>
            <w:tcMar>
              <w:top w:w="15" w:type="dxa"/>
              <w:left w:w="15" w:type="dxa"/>
              <w:bottom w:w="15" w:type="dxa"/>
              <w:right w:w="15" w:type="dxa"/>
            </w:tcMar>
          </w:tcPr>
          <w:p w:rsidR="006649DC" w:rsidRPr="005464B6" w:rsidRDefault="006649DC" w:rsidP="00866A0C">
            <w:pPr>
              <w:pStyle w:val="NormalWeb"/>
              <w:spacing w:beforeAutospacing="0" w:afterAutospacing="0"/>
              <w:jc w:val="center"/>
              <w:rPr>
                <w:rFonts w:ascii="Bookman Old Style" w:hAnsi="Bookman Old Style"/>
                <w:bCs/>
                <w:sz w:val="20"/>
                <w:szCs w:val="20"/>
              </w:rPr>
            </w:pPr>
            <w:r>
              <w:rPr>
                <w:rFonts w:ascii="Bookman Old Style" w:hAnsi="Bookman Old Style"/>
                <w:bCs/>
                <w:sz w:val="20"/>
                <w:szCs w:val="20"/>
              </w:rPr>
              <w:t>luglio 2017</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5464B6" w:rsidRDefault="006649DC" w:rsidP="00866A0C">
            <w:pPr>
              <w:pStyle w:val="NormalWeb"/>
              <w:spacing w:beforeAutospacing="0" w:afterAutospacing="0"/>
              <w:jc w:val="center"/>
              <w:rPr>
                <w:rFonts w:ascii="Bookman Old Style" w:hAnsi="Bookman Old Style"/>
                <w:bCs/>
                <w:sz w:val="22"/>
                <w:szCs w:val="22"/>
              </w:rPr>
            </w:pPr>
            <w:r>
              <w:rPr>
                <w:rFonts w:ascii="Bookman Old Style" w:hAnsi="Bookman Old Style"/>
                <w:bCs/>
                <w:sz w:val="22"/>
                <w:szCs w:val="22"/>
              </w:rPr>
              <w:t>15.07.2017</w:t>
            </w:r>
          </w:p>
        </w:tc>
        <w:tc>
          <w:tcPr>
            <w:tcW w:w="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5464B6" w:rsidRDefault="006649DC" w:rsidP="00866A0C">
            <w:pPr>
              <w:pStyle w:val="NormalWeb"/>
              <w:spacing w:beforeAutospacing="0" w:afterAutospacing="0"/>
              <w:jc w:val="center"/>
              <w:rPr>
                <w:rFonts w:ascii="Bookman Old Style" w:hAnsi="Bookman Old Style"/>
                <w:bCs/>
                <w:sz w:val="22"/>
                <w:szCs w:val="22"/>
              </w:rPr>
            </w:pPr>
            <w:r>
              <w:rPr>
                <w:rFonts w:ascii="Bookman Old Style" w:hAnsi="Bookman Old Style"/>
                <w:bCs/>
                <w:sz w:val="22"/>
                <w:szCs w:val="22"/>
              </w:rPr>
              <w:t>14.08.2017</w:t>
            </w:r>
          </w:p>
        </w:tc>
        <w:tc>
          <w:tcPr>
            <w:tcW w:w="7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49DC" w:rsidRPr="005464B6" w:rsidRDefault="006649DC" w:rsidP="00866A0C">
            <w:pPr>
              <w:pStyle w:val="NormalWeb"/>
              <w:spacing w:beforeAutospacing="0" w:afterAutospacing="0"/>
              <w:jc w:val="center"/>
              <w:rPr>
                <w:rFonts w:ascii="Bookman Old Style" w:hAnsi="Bookman Old Style"/>
                <w:bCs/>
                <w:sz w:val="22"/>
                <w:szCs w:val="22"/>
              </w:rPr>
            </w:pPr>
            <w:r w:rsidRPr="00866A0C">
              <w:rPr>
                <w:rFonts w:ascii="Bookman Old Style" w:hAnsi="Bookman Old Style"/>
                <w:bCs/>
                <w:sz w:val="22"/>
                <w:szCs w:val="22"/>
              </w:rPr>
              <w:t>101,00</w:t>
            </w:r>
          </w:p>
        </w:tc>
        <w:tc>
          <w:tcPr>
            <w:tcW w:w="9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49DC" w:rsidRPr="005464B6" w:rsidRDefault="006649DC" w:rsidP="00866A0C">
            <w:pPr>
              <w:pStyle w:val="NormalWeb"/>
              <w:spacing w:beforeAutospacing="0" w:afterAutospacing="0"/>
              <w:jc w:val="center"/>
              <w:rPr>
                <w:rFonts w:ascii="Bookman Old Style" w:hAnsi="Bookman Old Style"/>
                <w:bCs/>
                <w:sz w:val="22"/>
                <w:szCs w:val="22"/>
              </w:rPr>
            </w:pPr>
            <w:r w:rsidRPr="001904CB">
              <w:rPr>
                <w:rFonts w:ascii="Bookman Old Style" w:hAnsi="Bookman Old Style"/>
                <w:bCs/>
                <w:sz w:val="22"/>
                <w:szCs w:val="22"/>
              </w:rPr>
              <w:t>1,39842971</w:t>
            </w:r>
          </w:p>
        </w:tc>
        <w:tc>
          <w:tcPr>
            <w:tcW w:w="971"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649DC" w:rsidRPr="005464B6" w:rsidRDefault="006649DC" w:rsidP="00866A0C">
            <w:pPr>
              <w:pStyle w:val="NormalWeb"/>
              <w:spacing w:beforeAutospacing="0" w:afterAutospacing="0"/>
              <w:jc w:val="center"/>
              <w:rPr>
                <w:rFonts w:ascii="Bookman Old Style" w:hAnsi="Bookman Old Style"/>
                <w:bCs/>
                <w:sz w:val="22"/>
                <w:szCs w:val="22"/>
              </w:rPr>
            </w:pPr>
            <w:r w:rsidRPr="001904CB">
              <w:rPr>
                <w:rFonts w:ascii="Bookman Old Style" w:hAnsi="Bookman Old Style"/>
                <w:bCs/>
                <w:sz w:val="22"/>
                <w:szCs w:val="22"/>
              </w:rPr>
              <w:t>1,01398430</w:t>
            </w:r>
          </w:p>
        </w:tc>
      </w:tr>
      <w:tr w:rsidR="006649DC" w:rsidRPr="000F4146" w:rsidTr="005A3A1F">
        <w:trPr>
          <w:trHeight w:val="342"/>
          <w:tblCellSpacing w:w="15" w:type="dxa"/>
        </w:trPr>
        <w:tc>
          <w:tcPr>
            <w:tcW w:w="865" w:type="pct"/>
            <w:tcBorders>
              <w:top w:val="outset" w:sz="6" w:space="0" w:color="auto"/>
              <w:bottom w:val="outset" w:sz="6" w:space="0" w:color="auto"/>
              <w:right w:val="outset" w:sz="6" w:space="0" w:color="auto"/>
            </w:tcBorders>
            <w:tcMar>
              <w:top w:w="15" w:type="dxa"/>
              <w:left w:w="15" w:type="dxa"/>
              <w:bottom w:w="15" w:type="dxa"/>
              <w:right w:w="15" w:type="dxa"/>
            </w:tcMar>
          </w:tcPr>
          <w:p w:rsidR="006649DC" w:rsidRPr="005464B6" w:rsidRDefault="006649DC" w:rsidP="00866A0C">
            <w:pPr>
              <w:pStyle w:val="NormalWeb"/>
              <w:spacing w:beforeAutospacing="0" w:afterAutospacing="0"/>
              <w:jc w:val="center"/>
              <w:rPr>
                <w:rFonts w:ascii="Bookman Old Style" w:hAnsi="Bookman Old Style"/>
                <w:bCs/>
                <w:sz w:val="20"/>
                <w:szCs w:val="20"/>
              </w:rPr>
            </w:pPr>
            <w:r>
              <w:rPr>
                <w:rFonts w:ascii="Bookman Old Style" w:hAnsi="Bookman Old Style"/>
                <w:bCs/>
                <w:sz w:val="20"/>
                <w:szCs w:val="20"/>
              </w:rPr>
              <w:t>agosto 2017</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5464B6" w:rsidRDefault="006649DC" w:rsidP="00866A0C">
            <w:pPr>
              <w:pStyle w:val="NormalWeb"/>
              <w:spacing w:beforeAutospacing="0" w:afterAutospacing="0"/>
              <w:jc w:val="center"/>
              <w:rPr>
                <w:rFonts w:ascii="Bookman Old Style" w:hAnsi="Bookman Old Style"/>
                <w:bCs/>
                <w:sz w:val="22"/>
                <w:szCs w:val="22"/>
              </w:rPr>
            </w:pPr>
            <w:r>
              <w:rPr>
                <w:rFonts w:ascii="Bookman Old Style" w:hAnsi="Bookman Old Style"/>
                <w:bCs/>
                <w:sz w:val="22"/>
                <w:szCs w:val="22"/>
              </w:rPr>
              <w:t>15.08.2017</w:t>
            </w:r>
          </w:p>
        </w:tc>
        <w:tc>
          <w:tcPr>
            <w:tcW w:w="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5464B6" w:rsidRDefault="006649DC" w:rsidP="00866A0C">
            <w:pPr>
              <w:pStyle w:val="NormalWeb"/>
              <w:spacing w:beforeAutospacing="0" w:afterAutospacing="0"/>
              <w:jc w:val="center"/>
              <w:rPr>
                <w:rFonts w:ascii="Bookman Old Style" w:hAnsi="Bookman Old Style"/>
                <w:bCs/>
                <w:sz w:val="22"/>
                <w:szCs w:val="22"/>
              </w:rPr>
            </w:pPr>
            <w:r>
              <w:rPr>
                <w:rFonts w:ascii="Bookman Old Style" w:hAnsi="Bookman Old Style"/>
                <w:bCs/>
                <w:sz w:val="22"/>
                <w:szCs w:val="22"/>
              </w:rPr>
              <w:t>14.09.2017</w:t>
            </w:r>
          </w:p>
        </w:tc>
        <w:tc>
          <w:tcPr>
            <w:tcW w:w="7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5464B6" w:rsidRDefault="006649DC" w:rsidP="00866A0C">
            <w:pPr>
              <w:pStyle w:val="NormalWeb"/>
              <w:spacing w:beforeAutospacing="0" w:afterAutospacing="0"/>
              <w:jc w:val="center"/>
              <w:rPr>
                <w:rFonts w:ascii="Bookman Old Style" w:hAnsi="Bookman Old Style"/>
                <w:bCs/>
                <w:sz w:val="22"/>
                <w:szCs w:val="22"/>
              </w:rPr>
            </w:pPr>
            <w:r>
              <w:rPr>
                <w:rFonts w:ascii="Bookman Old Style" w:hAnsi="Bookman Old Style"/>
                <w:bCs/>
                <w:sz w:val="22"/>
                <w:szCs w:val="22"/>
              </w:rPr>
              <w:t>101,4</w:t>
            </w:r>
          </w:p>
        </w:tc>
        <w:tc>
          <w:tcPr>
            <w:tcW w:w="9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0F4146" w:rsidRDefault="006649DC" w:rsidP="000F4146">
            <w:pPr>
              <w:pStyle w:val="NormalWeb"/>
              <w:spacing w:beforeAutospacing="0" w:afterAutospacing="0"/>
              <w:jc w:val="center"/>
              <w:rPr>
                <w:rFonts w:ascii="Bookman Old Style" w:hAnsi="Bookman Old Style"/>
                <w:bCs/>
                <w:sz w:val="22"/>
                <w:szCs w:val="22"/>
              </w:rPr>
            </w:pPr>
            <w:r w:rsidRPr="000F4146">
              <w:rPr>
                <w:rFonts w:ascii="Bookman Old Style" w:hAnsi="Bookman Old Style"/>
                <w:bCs/>
                <w:sz w:val="22"/>
                <w:szCs w:val="22"/>
              </w:rPr>
              <w:t>1,82253240</w:t>
            </w:r>
          </w:p>
        </w:tc>
        <w:tc>
          <w:tcPr>
            <w:tcW w:w="971" w:type="pct"/>
            <w:tcBorders>
              <w:top w:val="outset" w:sz="6" w:space="0" w:color="auto"/>
              <w:left w:val="outset" w:sz="6" w:space="0" w:color="auto"/>
              <w:bottom w:val="outset" w:sz="6" w:space="0" w:color="auto"/>
            </w:tcBorders>
            <w:tcMar>
              <w:top w:w="15" w:type="dxa"/>
              <w:left w:w="15" w:type="dxa"/>
              <w:bottom w:w="15" w:type="dxa"/>
              <w:right w:w="15" w:type="dxa"/>
            </w:tcMar>
          </w:tcPr>
          <w:p w:rsidR="006649DC" w:rsidRPr="005464B6" w:rsidRDefault="006649DC" w:rsidP="000F4146">
            <w:pPr>
              <w:pStyle w:val="NormalWeb"/>
              <w:spacing w:beforeAutospacing="0" w:afterAutospacing="0"/>
              <w:jc w:val="center"/>
              <w:rPr>
                <w:rFonts w:ascii="Bookman Old Style" w:hAnsi="Bookman Old Style"/>
                <w:bCs/>
                <w:sz w:val="22"/>
                <w:szCs w:val="22"/>
              </w:rPr>
            </w:pPr>
            <w:r w:rsidRPr="000F4146">
              <w:rPr>
                <w:rFonts w:ascii="Bookman Old Style" w:hAnsi="Bookman Old Style"/>
                <w:bCs/>
                <w:sz w:val="22"/>
                <w:szCs w:val="22"/>
              </w:rPr>
              <w:t>1,01822532</w:t>
            </w:r>
          </w:p>
        </w:tc>
      </w:tr>
      <w:tr w:rsidR="006649DC" w:rsidRPr="004B7E8E" w:rsidTr="005A3A1F">
        <w:trPr>
          <w:trHeight w:val="431"/>
          <w:tblCellSpacing w:w="15" w:type="dxa"/>
        </w:trPr>
        <w:tc>
          <w:tcPr>
            <w:tcW w:w="865" w:type="pct"/>
            <w:tcBorders>
              <w:top w:val="outset" w:sz="6" w:space="0" w:color="auto"/>
              <w:bottom w:val="outset" w:sz="6" w:space="0" w:color="auto"/>
              <w:right w:val="outset" w:sz="6" w:space="0" w:color="auto"/>
            </w:tcBorders>
            <w:tcMar>
              <w:top w:w="15" w:type="dxa"/>
              <w:left w:w="15" w:type="dxa"/>
              <w:bottom w:w="15" w:type="dxa"/>
              <w:right w:w="15" w:type="dxa"/>
            </w:tcMar>
          </w:tcPr>
          <w:p w:rsidR="006649DC" w:rsidRPr="004B7E8E" w:rsidRDefault="006649DC" w:rsidP="009851C8">
            <w:pPr>
              <w:pStyle w:val="NormalWeb"/>
              <w:spacing w:beforeAutospacing="0" w:afterAutospacing="0"/>
              <w:jc w:val="center"/>
              <w:rPr>
                <w:rFonts w:ascii="Bookman Old Style" w:hAnsi="Bookman Old Style"/>
                <w:bCs/>
                <w:sz w:val="20"/>
                <w:szCs w:val="20"/>
              </w:rPr>
            </w:pPr>
            <w:r w:rsidRPr="004B7E8E">
              <w:rPr>
                <w:rFonts w:ascii="Bookman Old Style" w:hAnsi="Bookman Old Style"/>
                <w:bCs/>
                <w:sz w:val="20"/>
                <w:szCs w:val="20"/>
              </w:rPr>
              <w:t>settembre 2017</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4B7E8E" w:rsidRDefault="006649DC" w:rsidP="009851C8">
            <w:pPr>
              <w:pStyle w:val="NormalWeb"/>
              <w:spacing w:beforeAutospacing="0" w:afterAutospacing="0"/>
              <w:jc w:val="center"/>
              <w:rPr>
                <w:rFonts w:ascii="Bookman Old Style" w:hAnsi="Bookman Old Style"/>
                <w:bCs/>
                <w:sz w:val="22"/>
                <w:szCs w:val="22"/>
              </w:rPr>
            </w:pPr>
            <w:r w:rsidRPr="004B7E8E">
              <w:rPr>
                <w:rFonts w:ascii="Bookman Old Style" w:hAnsi="Bookman Old Style"/>
                <w:bCs/>
                <w:sz w:val="22"/>
                <w:szCs w:val="22"/>
              </w:rPr>
              <w:t>15.09.2017</w:t>
            </w:r>
          </w:p>
        </w:tc>
        <w:tc>
          <w:tcPr>
            <w:tcW w:w="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4B7E8E" w:rsidRDefault="006649DC" w:rsidP="009851C8">
            <w:pPr>
              <w:pStyle w:val="NormalWeb"/>
              <w:spacing w:beforeAutospacing="0" w:afterAutospacing="0"/>
              <w:jc w:val="center"/>
              <w:rPr>
                <w:rFonts w:ascii="Bookman Old Style" w:hAnsi="Bookman Old Style"/>
                <w:bCs/>
                <w:sz w:val="22"/>
                <w:szCs w:val="22"/>
              </w:rPr>
            </w:pPr>
            <w:r w:rsidRPr="004B7E8E">
              <w:rPr>
                <w:rFonts w:ascii="Bookman Old Style" w:hAnsi="Bookman Old Style"/>
                <w:bCs/>
                <w:sz w:val="22"/>
                <w:szCs w:val="22"/>
              </w:rPr>
              <w:t>14.10.2017</w:t>
            </w:r>
          </w:p>
        </w:tc>
        <w:tc>
          <w:tcPr>
            <w:tcW w:w="7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4B7E8E" w:rsidRDefault="006649DC" w:rsidP="009851C8">
            <w:pPr>
              <w:pStyle w:val="NormalWeb"/>
              <w:spacing w:beforeAutospacing="0" w:afterAutospacing="0"/>
              <w:jc w:val="center"/>
              <w:rPr>
                <w:rFonts w:ascii="Bookman Old Style" w:hAnsi="Bookman Old Style"/>
                <w:bCs/>
                <w:sz w:val="22"/>
                <w:szCs w:val="22"/>
              </w:rPr>
            </w:pPr>
            <w:r w:rsidRPr="004B7E8E">
              <w:rPr>
                <w:rFonts w:ascii="Bookman Old Style" w:hAnsi="Bookman Old Style"/>
                <w:bCs/>
                <w:sz w:val="22"/>
                <w:szCs w:val="22"/>
              </w:rPr>
              <w:t>101,1</w:t>
            </w:r>
          </w:p>
        </w:tc>
        <w:tc>
          <w:tcPr>
            <w:tcW w:w="9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4B7E8E" w:rsidRDefault="006649DC" w:rsidP="009851C8">
            <w:pPr>
              <w:pStyle w:val="NormalWeb"/>
              <w:spacing w:beforeAutospacing="0" w:afterAutospacing="0"/>
              <w:jc w:val="center"/>
              <w:rPr>
                <w:rFonts w:ascii="Bookman Old Style" w:hAnsi="Bookman Old Style"/>
                <w:bCs/>
                <w:sz w:val="22"/>
                <w:szCs w:val="22"/>
              </w:rPr>
            </w:pPr>
            <w:r w:rsidRPr="004B7E8E">
              <w:rPr>
                <w:rFonts w:ascii="Bookman Old Style" w:hAnsi="Bookman Old Style"/>
                <w:bCs/>
                <w:sz w:val="22"/>
                <w:szCs w:val="22"/>
              </w:rPr>
              <w:t>1,72320539</w:t>
            </w:r>
          </w:p>
        </w:tc>
        <w:tc>
          <w:tcPr>
            <w:tcW w:w="971" w:type="pct"/>
            <w:tcBorders>
              <w:top w:val="outset" w:sz="6" w:space="0" w:color="auto"/>
              <w:left w:val="outset" w:sz="6" w:space="0" w:color="auto"/>
              <w:bottom w:val="outset" w:sz="6" w:space="0" w:color="auto"/>
            </w:tcBorders>
            <w:tcMar>
              <w:top w:w="15" w:type="dxa"/>
              <w:left w:w="15" w:type="dxa"/>
              <w:bottom w:w="15" w:type="dxa"/>
              <w:right w:w="15" w:type="dxa"/>
            </w:tcMar>
          </w:tcPr>
          <w:p w:rsidR="006649DC" w:rsidRPr="004B7E8E" w:rsidRDefault="006649DC" w:rsidP="009851C8">
            <w:pPr>
              <w:pStyle w:val="NormalWeb"/>
              <w:spacing w:beforeAutospacing="0" w:afterAutospacing="0"/>
              <w:jc w:val="center"/>
              <w:rPr>
                <w:rFonts w:ascii="Bookman Old Style" w:hAnsi="Bookman Old Style"/>
                <w:bCs/>
                <w:sz w:val="22"/>
                <w:szCs w:val="22"/>
              </w:rPr>
            </w:pPr>
            <w:r w:rsidRPr="004B7E8E">
              <w:rPr>
                <w:rFonts w:ascii="Bookman Old Style" w:hAnsi="Bookman Old Style"/>
                <w:bCs/>
                <w:sz w:val="22"/>
                <w:szCs w:val="22"/>
              </w:rPr>
              <w:t>1,01723205</w:t>
            </w:r>
          </w:p>
        </w:tc>
      </w:tr>
      <w:tr w:rsidR="006649DC" w:rsidRPr="005464B6" w:rsidTr="005A3A1F">
        <w:trPr>
          <w:trHeight w:val="431"/>
          <w:tblCellSpacing w:w="15" w:type="dxa"/>
        </w:trPr>
        <w:tc>
          <w:tcPr>
            <w:tcW w:w="86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6649DC" w:rsidRPr="007774FB" w:rsidRDefault="006649DC" w:rsidP="009851C8">
            <w:pPr>
              <w:pStyle w:val="NormalWeb"/>
              <w:spacing w:beforeAutospacing="0" w:afterAutospacing="0"/>
              <w:jc w:val="center"/>
              <w:rPr>
                <w:rFonts w:ascii="Bookman Old Style" w:hAnsi="Bookman Old Style"/>
                <w:bCs/>
                <w:sz w:val="20"/>
                <w:szCs w:val="20"/>
              </w:rPr>
            </w:pPr>
            <w:r w:rsidRPr="007774FB">
              <w:rPr>
                <w:rFonts w:ascii="Bookman Old Style" w:hAnsi="Bookman Old Style"/>
                <w:bCs/>
                <w:sz w:val="20"/>
                <w:szCs w:val="20"/>
              </w:rPr>
              <w:t>ottobre 2017</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49DC" w:rsidRPr="007774FB" w:rsidRDefault="006649DC" w:rsidP="009851C8">
            <w:pPr>
              <w:pStyle w:val="NormalWeb"/>
              <w:spacing w:beforeAutospacing="0" w:afterAutospacing="0"/>
              <w:jc w:val="center"/>
              <w:rPr>
                <w:rFonts w:ascii="Bookman Old Style" w:hAnsi="Bookman Old Style"/>
                <w:bCs/>
                <w:sz w:val="22"/>
                <w:szCs w:val="22"/>
              </w:rPr>
            </w:pPr>
            <w:r w:rsidRPr="007774FB">
              <w:rPr>
                <w:rFonts w:ascii="Bookman Old Style" w:hAnsi="Bookman Old Style"/>
                <w:bCs/>
                <w:sz w:val="22"/>
                <w:szCs w:val="22"/>
              </w:rPr>
              <w:t>15.10.2017</w:t>
            </w:r>
          </w:p>
        </w:tc>
        <w:tc>
          <w:tcPr>
            <w:tcW w:w="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49DC" w:rsidRPr="007774FB" w:rsidRDefault="006649DC" w:rsidP="009851C8">
            <w:pPr>
              <w:pStyle w:val="NormalWeb"/>
              <w:spacing w:beforeAutospacing="0" w:afterAutospacing="0"/>
              <w:jc w:val="center"/>
              <w:rPr>
                <w:rFonts w:ascii="Bookman Old Style" w:hAnsi="Bookman Old Style"/>
                <w:bCs/>
                <w:sz w:val="22"/>
                <w:szCs w:val="22"/>
              </w:rPr>
            </w:pPr>
            <w:r w:rsidRPr="007774FB">
              <w:rPr>
                <w:rFonts w:ascii="Bookman Old Style" w:hAnsi="Bookman Old Style"/>
                <w:bCs/>
                <w:sz w:val="22"/>
                <w:szCs w:val="22"/>
              </w:rPr>
              <w:t>14.11.2017</w:t>
            </w:r>
          </w:p>
        </w:tc>
        <w:tc>
          <w:tcPr>
            <w:tcW w:w="7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49DC" w:rsidRPr="007774FB" w:rsidRDefault="006649DC" w:rsidP="009851C8">
            <w:pPr>
              <w:pStyle w:val="NormalWeb"/>
              <w:spacing w:beforeAutospacing="0" w:afterAutospacing="0"/>
              <w:jc w:val="center"/>
              <w:rPr>
                <w:rFonts w:ascii="Bookman Old Style" w:hAnsi="Bookman Old Style"/>
                <w:bCs/>
                <w:sz w:val="22"/>
                <w:szCs w:val="22"/>
              </w:rPr>
            </w:pPr>
            <w:r w:rsidRPr="007774FB">
              <w:rPr>
                <w:rFonts w:ascii="Bookman Old Style" w:hAnsi="Bookman Old Style"/>
                <w:bCs/>
                <w:sz w:val="22"/>
                <w:szCs w:val="22"/>
              </w:rPr>
              <w:t> 100,90</w:t>
            </w:r>
          </w:p>
        </w:tc>
        <w:tc>
          <w:tcPr>
            <w:tcW w:w="9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6649DC" w:rsidRPr="007774FB" w:rsidRDefault="006649DC" w:rsidP="009851C8">
            <w:pPr>
              <w:pStyle w:val="NormalWeb"/>
              <w:spacing w:beforeAutospacing="0" w:afterAutospacing="0"/>
              <w:jc w:val="center"/>
              <w:rPr>
                <w:rFonts w:ascii="Bookman Old Style" w:hAnsi="Bookman Old Style"/>
                <w:bCs/>
                <w:sz w:val="22"/>
                <w:szCs w:val="22"/>
              </w:rPr>
            </w:pPr>
            <w:r w:rsidRPr="007774FB">
              <w:rPr>
                <w:rFonts w:ascii="Bookman Old Style" w:hAnsi="Bookman Old Style"/>
                <w:bCs/>
                <w:sz w:val="22"/>
                <w:szCs w:val="22"/>
              </w:rPr>
              <w:t> 1,698654</w:t>
            </w:r>
          </w:p>
        </w:tc>
        <w:tc>
          <w:tcPr>
            <w:tcW w:w="971"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649DC" w:rsidRPr="007774FB" w:rsidRDefault="006649DC" w:rsidP="009851C8">
            <w:pPr>
              <w:pStyle w:val="NormalWeb"/>
              <w:spacing w:beforeAutospacing="0" w:afterAutospacing="0"/>
              <w:jc w:val="center"/>
              <w:rPr>
                <w:rFonts w:ascii="Bookman Old Style" w:hAnsi="Bookman Old Style"/>
                <w:bCs/>
                <w:sz w:val="22"/>
                <w:szCs w:val="22"/>
              </w:rPr>
            </w:pPr>
            <w:r w:rsidRPr="007774FB">
              <w:rPr>
                <w:rFonts w:ascii="Bookman Old Style" w:hAnsi="Bookman Old Style"/>
                <w:bCs/>
                <w:sz w:val="22"/>
                <w:szCs w:val="22"/>
              </w:rPr>
              <w:t> 1,01698654</w:t>
            </w:r>
          </w:p>
        </w:tc>
      </w:tr>
      <w:tr w:rsidR="006649DC" w:rsidRPr="007774FB" w:rsidTr="005A3A1F">
        <w:trPr>
          <w:trHeight w:val="403"/>
          <w:tblCellSpacing w:w="15" w:type="dxa"/>
        </w:trPr>
        <w:tc>
          <w:tcPr>
            <w:tcW w:w="865" w:type="pct"/>
            <w:tcBorders>
              <w:top w:val="outset" w:sz="6" w:space="0" w:color="auto"/>
              <w:bottom w:val="outset" w:sz="6" w:space="0" w:color="auto"/>
              <w:right w:val="outset" w:sz="6" w:space="0" w:color="auto"/>
            </w:tcBorders>
            <w:tcMar>
              <w:top w:w="15" w:type="dxa"/>
              <w:left w:w="15" w:type="dxa"/>
              <w:bottom w:w="15" w:type="dxa"/>
              <w:right w:w="15" w:type="dxa"/>
            </w:tcMar>
          </w:tcPr>
          <w:p w:rsidR="006649DC" w:rsidRPr="005A3A1F" w:rsidRDefault="006649DC" w:rsidP="009851C8">
            <w:pPr>
              <w:pStyle w:val="NormalWeb"/>
              <w:spacing w:beforeAutospacing="0" w:afterAutospacing="0"/>
              <w:jc w:val="center"/>
              <w:rPr>
                <w:rFonts w:ascii="Bookman Old Style" w:hAnsi="Bookman Old Style"/>
                <w:bCs/>
                <w:sz w:val="20"/>
                <w:szCs w:val="20"/>
              </w:rPr>
            </w:pPr>
            <w:r>
              <w:rPr>
                <w:rFonts w:ascii="Bookman Old Style" w:hAnsi="Bookman Old Style"/>
                <w:bCs/>
                <w:sz w:val="20"/>
                <w:szCs w:val="20"/>
              </w:rPr>
              <w:t>n</w:t>
            </w:r>
            <w:r w:rsidRPr="005A3A1F">
              <w:rPr>
                <w:rFonts w:ascii="Bookman Old Style" w:hAnsi="Bookman Old Style"/>
                <w:bCs/>
                <w:sz w:val="20"/>
                <w:szCs w:val="20"/>
              </w:rPr>
              <w:t>ovembre 2017</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5A3A1F" w:rsidRDefault="006649DC" w:rsidP="009851C8">
            <w:pPr>
              <w:pStyle w:val="NormalWeb"/>
              <w:spacing w:beforeAutospacing="0" w:afterAutospacing="0"/>
              <w:jc w:val="center"/>
              <w:rPr>
                <w:rFonts w:ascii="Bookman Old Style" w:hAnsi="Bookman Old Style"/>
                <w:bCs/>
                <w:sz w:val="20"/>
                <w:szCs w:val="20"/>
              </w:rPr>
            </w:pPr>
            <w:r w:rsidRPr="005A3A1F">
              <w:rPr>
                <w:rFonts w:ascii="Bookman Old Style" w:hAnsi="Bookman Old Style"/>
                <w:bCs/>
                <w:sz w:val="20"/>
                <w:szCs w:val="20"/>
              </w:rPr>
              <w:t>15.11.2017</w:t>
            </w:r>
          </w:p>
        </w:tc>
        <w:tc>
          <w:tcPr>
            <w:tcW w:w="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5A3A1F" w:rsidRDefault="006649DC" w:rsidP="009851C8">
            <w:pPr>
              <w:pStyle w:val="NormalWeb"/>
              <w:spacing w:beforeAutospacing="0" w:afterAutospacing="0"/>
              <w:jc w:val="center"/>
              <w:rPr>
                <w:rFonts w:ascii="Bookman Old Style" w:hAnsi="Bookman Old Style"/>
                <w:bCs/>
                <w:sz w:val="20"/>
                <w:szCs w:val="20"/>
              </w:rPr>
            </w:pPr>
            <w:r w:rsidRPr="005A3A1F">
              <w:rPr>
                <w:rFonts w:ascii="Bookman Old Style" w:hAnsi="Bookman Old Style"/>
                <w:bCs/>
                <w:sz w:val="20"/>
                <w:szCs w:val="20"/>
              </w:rPr>
              <w:t>1</w:t>
            </w:r>
            <w:r>
              <w:rPr>
                <w:rFonts w:ascii="Bookman Old Style" w:hAnsi="Bookman Old Style"/>
                <w:bCs/>
                <w:sz w:val="20"/>
                <w:szCs w:val="20"/>
              </w:rPr>
              <w:t>4</w:t>
            </w:r>
            <w:r w:rsidRPr="005A3A1F">
              <w:rPr>
                <w:rFonts w:ascii="Bookman Old Style" w:hAnsi="Bookman Old Style"/>
                <w:bCs/>
                <w:sz w:val="20"/>
                <w:szCs w:val="20"/>
              </w:rPr>
              <w:t>.12.2017</w:t>
            </w:r>
          </w:p>
        </w:tc>
        <w:tc>
          <w:tcPr>
            <w:tcW w:w="7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5A3A1F" w:rsidRDefault="006649DC" w:rsidP="009851C8">
            <w:pPr>
              <w:pStyle w:val="NormalWeb"/>
              <w:spacing w:beforeAutospacing="0" w:afterAutospacing="0"/>
              <w:jc w:val="center"/>
              <w:rPr>
                <w:rFonts w:ascii="Bookman Old Style" w:hAnsi="Bookman Old Style"/>
                <w:bCs/>
                <w:sz w:val="20"/>
                <w:szCs w:val="20"/>
              </w:rPr>
            </w:pPr>
            <w:r w:rsidRPr="005A3A1F">
              <w:rPr>
                <w:rFonts w:ascii="Bookman Old Style" w:hAnsi="Bookman Old Style"/>
                <w:bCs/>
                <w:sz w:val="20"/>
                <w:szCs w:val="20"/>
              </w:rPr>
              <w:t>100,80</w:t>
            </w:r>
          </w:p>
        </w:tc>
        <w:tc>
          <w:tcPr>
            <w:tcW w:w="9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5A3A1F" w:rsidRDefault="006649DC" w:rsidP="009851C8">
            <w:pPr>
              <w:pStyle w:val="NormalWeb"/>
              <w:spacing w:beforeAutospacing="0" w:afterAutospacing="0"/>
              <w:jc w:val="center"/>
              <w:rPr>
                <w:rFonts w:ascii="Bookman Old Style" w:hAnsi="Bookman Old Style"/>
                <w:bCs/>
                <w:sz w:val="20"/>
                <w:szCs w:val="20"/>
              </w:rPr>
            </w:pPr>
            <w:r w:rsidRPr="005A3A1F">
              <w:rPr>
                <w:rFonts w:ascii="Bookman Old Style" w:hAnsi="Bookman Old Style"/>
                <w:bCs/>
                <w:sz w:val="20"/>
                <w:szCs w:val="20"/>
              </w:rPr>
              <w:t>1,748878</w:t>
            </w:r>
          </w:p>
        </w:tc>
        <w:tc>
          <w:tcPr>
            <w:tcW w:w="971" w:type="pct"/>
            <w:tcBorders>
              <w:top w:val="outset" w:sz="6" w:space="0" w:color="auto"/>
              <w:left w:val="outset" w:sz="6" w:space="0" w:color="auto"/>
              <w:bottom w:val="outset" w:sz="6" w:space="0" w:color="auto"/>
            </w:tcBorders>
            <w:tcMar>
              <w:top w:w="15" w:type="dxa"/>
              <w:left w:w="15" w:type="dxa"/>
              <w:bottom w:w="15" w:type="dxa"/>
              <w:right w:w="15" w:type="dxa"/>
            </w:tcMar>
          </w:tcPr>
          <w:p w:rsidR="006649DC" w:rsidRPr="005A3A1F" w:rsidRDefault="006649DC" w:rsidP="009851C8">
            <w:pPr>
              <w:pStyle w:val="NormalWeb"/>
              <w:spacing w:beforeAutospacing="0" w:afterAutospacing="0"/>
              <w:jc w:val="center"/>
              <w:rPr>
                <w:rFonts w:ascii="Bookman Old Style" w:hAnsi="Bookman Old Style"/>
                <w:bCs/>
                <w:sz w:val="20"/>
                <w:szCs w:val="20"/>
              </w:rPr>
            </w:pPr>
            <w:r w:rsidRPr="005A3A1F">
              <w:rPr>
                <w:rFonts w:ascii="Bookman Old Style" w:hAnsi="Bookman Old Style"/>
                <w:bCs/>
                <w:sz w:val="20"/>
                <w:szCs w:val="20"/>
              </w:rPr>
              <w:t>1,01748878</w:t>
            </w:r>
          </w:p>
        </w:tc>
      </w:tr>
      <w:tr w:rsidR="006649DC" w:rsidRPr="005A3A1F" w:rsidTr="005A3A1F">
        <w:trPr>
          <w:trHeight w:val="751"/>
          <w:tblCellSpacing w:w="15" w:type="dxa"/>
        </w:trPr>
        <w:tc>
          <w:tcPr>
            <w:tcW w:w="865" w:type="pct"/>
            <w:tcBorders>
              <w:top w:val="outset" w:sz="6" w:space="0" w:color="auto"/>
              <w:bottom w:val="outset" w:sz="6" w:space="0" w:color="auto"/>
              <w:right w:val="outset" w:sz="6" w:space="0" w:color="auto"/>
            </w:tcBorders>
            <w:tcMar>
              <w:top w:w="15" w:type="dxa"/>
              <w:left w:w="15" w:type="dxa"/>
              <w:bottom w:w="15" w:type="dxa"/>
              <w:right w:w="15" w:type="dxa"/>
            </w:tcMar>
          </w:tcPr>
          <w:p w:rsidR="006649DC" w:rsidRPr="005A3A1F" w:rsidRDefault="006649DC" w:rsidP="009851C8">
            <w:pPr>
              <w:pStyle w:val="NormalWeb"/>
              <w:spacing w:beforeAutospacing="0" w:afterAutospacing="0"/>
              <w:jc w:val="center"/>
              <w:rPr>
                <w:rFonts w:ascii="Bookman Old Style" w:hAnsi="Bookman Old Style"/>
                <w:b/>
                <w:bCs/>
                <w:sz w:val="20"/>
                <w:szCs w:val="20"/>
              </w:rPr>
            </w:pPr>
            <w:r w:rsidRPr="005A3A1F">
              <w:rPr>
                <w:rFonts w:ascii="Bookman Old Style" w:hAnsi="Bookman Old Style"/>
                <w:b/>
                <w:bCs/>
                <w:sz w:val="20"/>
                <w:szCs w:val="20"/>
              </w:rPr>
              <w:t>dicembre 2017</w:t>
            </w:r>
          </w:p>
        </w:tc>
        <w:tc>
          <w:tcPr>
            <w:tcW w:w="61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5A3A1F" w:rsidRDefault="006649DC" w:rsidP="009851C8">
            <w:pPr>
              <w:pStyle w:val="NormalWeb"/>
              <w:spacing w:beforeAutospacing="0" w:afterAutospacing="0"/>
              <w:jc w:val="center"/>
              <w:rPr>
                <w:rFonts w:ascii="Bookman Old Style" w:hAnsi="Bookman Old Style"/>
                <w:b/>
                <w:bCs/>
                <w:sz w:val="20"/>
                <w:szCs w:val="20"/>
              </w:rPr>
            </w:pPr>
            <w:r w:rsidRPr="005A3A1F">
              <w:rPr>
                <w:rFonts w:ascii="Bookman Old Style" w:hAnsi="Bookman Old Style"/>
                <w:b/>
                <w:bCs/>
                <w:sz w:val="20"/>
                <w:szCs w:val="20"/>
              </w:rPr>
              <w:t>15.12.2017</w:t>
            </w:r>
          </w:p>
        </w:tc>
        <w:tc>
          <w:tcPr>
            <w:tcW w:w="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5A3A1F" w:rsidRDefault="006649DC" w:rsidP="009851C8">
            <w:pPr>
              <w:pStyle w:val="NormalWeb"/>
              <w:spacing w:beforeAutospacing="0" w:afterAutospacing="0"/>
              <w:jc w:val="center"/>
              <w:rPr>
                <w:rFonts w:ascii="Bookman Old Style" w:hAnsi="Bookman Old Style"/>
                <w:b/>
                <w:bCs/>
                <w:sz w:val="20"/>
                <w:szCs w:val="20"/>
              </w:rPr>
            </w:pPr>
            <w:r w:rsidRPr="005A3A1F">
              <w:rPr>
                <w:rFonts w:ascii="Bookman Old Style" w:hAnsi="Bookman Old Style"/>
                <w:b/>
                <w:bCs/>
                <w:sz w:val="20"/>
                <w:szCs w:val="20"/>
              </w:rPr>
              <w:t>14.01.2018</w:t>
            </w:r>
          </w:p>
        </w:tc>
        <w:tc>
          <w:tcPr>
            <w:tcW w:w="7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5A3A1F" w:rsidRDefault="006649DC" w:rsidP="005A3A1F">
            <w:pPr>
              <w:pStyle w:val="NormalWeb"/>
              <w:spacing w:before="120" w:beforeAutospacing="0" w:afterAutospacing="0"/>
              <w:jc w:val="center"/>
              <w:rPr>
                <w:rFonts w:ascii="Bookman Old Style" w:hAnsi="Bookman Old Style"/>
                <w:b/>
                <w:bCs/>
                <w:sz w:val="20"/>
                <w:szCs w:val="20"/>
              </w:rPr>
            </w:pPr>
            <w:r w:rsidRPr="005A3A1F">
              <w:rPr>
                <w:rFonts w:ascii="Bookman Old Style" w:hAnsi="Bookman Old Style"/>
                <w:b/>
                <w:bCs/>
                <w:sz w:val="20"/>
                <w:szCs w:val="20"/>
              </w:rPr>
              <w:t>101</w:t>
            </w:r>
            <w:r>
              <w:rPr>
                <w:rFonts w:ascii="Bookman Old Style" w:hAnsi="Bookman Old Style"/>
                <w:b/>
                <w:bCs/>
                <w:sz w:val="20"/>
                <w:szCs w:val="20"/>
              </w:rPr>
              <w:t>,</w:t>
            </w:r>
            <w:r w:rsidRPr="005A3A1F">
              <w:rPr>
                <w:rFonts w:ascii="Bookman Old Style" w:hAnsi="Bookman Old Style"/>
                <w:b/>
                <w:bCs/>
                <w:sz w:val="20"/>
                <w:szCs w:val="20"/>
              </w:rPr>
              <w:t>10</w:t>
            </w:r>
          </w:p>
        </w:tc>
        <w:tc>
          <w:tcPr>
            <w:tcW w:w="9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6649DC" w:rsidRPr="005A3A1F" w:rsidRDefault="006649DC" w:rsidP="005A3A1F">
            <w:pPr>
              <w:spacing w:before="120"/>
              <w:jc w:val="center"/>
              <w:rPr>
                <w:rFonts w:ascii="Bookman Old Style" w:hAnsi="Bookman Old Style"/>
                <w:b/>
                <w:bCs/>
                <w:sz w:val="20"/>
                <w:szCs w:val="20"/>
              </w:rPr>
            </w:pPr>
            <w:r w:rsidRPr="005A3A1F">
              <w:rPr>
                <w:rFonts w:ascii="Bookman Old Style" w:hAnsi="Bookman Old Style"/>
                <w:b/>
                <w:bCs/>
                <w:sz w:val="20"/>
                <w:szCs w:val="20"/>
              </w:rPr>
              <w:t>2,09820539</w:t>
            </w:r>
          </w:p>
          <w:p w:rsidR="006649DC" w:rsidRPr="005A3A1F" w:rsidRDefault="006649DC" w:rsidP="005A3A1F">
            <w:pPr>
              <w:pStyle w:val="NormalWeb"/>
              <w:spacing w:before="120" w:beforeAutospacing="0" w:afterAutospacing="0"/>
              <w:jc w:val="center"/>
              <w:rPr>
                <w:rFonts w:ascii="Bookman Old Style" w:hAnsi="Bookman Old Style"/>
                <w:b/>
                <w:bCs/>
                <w:sz w:val="20"/>
                <w:szCs w:val="20"/>
              </w:rPr>
            </w:pPr>
          </w:p>
        </w:tc>
        <w:tc>
          <w:tcPr>
            <w:tcW w:w="971" w:type="pct"/>
            <w:tcBorders>
              <w:top w:val="outset" w:sz="6" w:space="0" w:color="auto"/>
              <w:left w:val="outset" w:sz="6" w:space="0" w:color="auto"/>
              <w:bottom w:val="outset" w:sz="6" w:space="0" w:color="auto"/>
            </w:tcBorders>
            <w:tcMar>
              <w:top w:w="15" w:type="dxa"/>
              <w:left w:w="15" w:type="dxa"/>
              <w:bottom w:w="15" w:type="dxa"/>
              <w:right w:w="15" w:type="dxa"/>
            </w:tcMar>
          </w:tcPr>
          <w:p w:rsidR="006649DC" w:rsidRPr="005A3A1F" w:rsidRDefault="006649DC" w:rsidP="009851C8">
            <w:pPr>
              <w:pStyle w:val="NormalWeb"/>
              <w:spacing w:beforeAutospacing="0" w:afterAutospacing="0"/>
              <w:jc w:val="center"/>
              <w:rPr>
                <w:rFonts w:ascii="Bookman Old Style" w:hAnsi="Bookman Old Style"/>
                <w:b/>
                <w:bCs/>
                <w:sz w:val="20"/>
                <w:szCs w:val="20"/>
              </w:rPr>
            </w:pPr>
            <w:r w:rsidRPr="005A3A1F">
              <w:rPr>
                <w:rFonts w:ascii="Bookman Old Style" w:hAnsi="Bookman Old Style"/>
                <w:b/>
                <w:bCs/>
                <w:sz w:val="20"/>
                <w:szCs w:val="20"/>
              </w:rPr>
              <w:t>1,02098205</w:t>
            </w:r>
          </w:p>
        </w:tc>
      </w:tr>
    </w:tbl>
    <w:p w:rsidR="006649DC" w:rsidRPr="002955FD" w:rsidRDefault="006649DC" w:rsidP="002955FD">
      <w:pPr>
        <w:jc w:val="both"/>
        <w:rPr>
          <w:rFonts w:ascii="Bookman Old Style" w:hAnsi="Bookman Old Style"/>
          <w:vanish/>
          <w:sz w:val="22"/>
          <w:szCs w:val="22"/>
        </w:rPr>
      </w:pPr>
    </w:p>
    <w:p w:rsidR="006649DC" w:rsidRPr="002955FD" w:rsidRDefault="006649DC" w:rsidP="002955FD">
      <w:pPr>
        <w:spacing w:before="40"/>
        <w:jc w:val="both"/>
        <w:rPr>
          <w:rFonts w:ascii="Bookman Old Style" w:hAnsi="Bookman Old Style" w:cs="Tahoma"/>
          <w:i/>
          <w:iCs/>
          <w:color w:val="2E2E2E"/>
          <w:sz w:val="22"/>
          <w:szCs w:val="22"/>
        </w:rPr>
      </w:pPr>
      <w:r w:rsidRPr="002955FD">
        <w:rPr>
          <w:rFonts w:ascii="Bookman Old Style" w:hAnsi="Bookman Old Style" w:cs="Tahoma"/>
          <w:b/>
          <w:bCs/>
          <w:i/>
          <w:iCs/>
          <w:color w:val="2E2E2E"/>
          <w:sz w:val="22"/>
          <w:szCs w:val="22"/>
        </w:rPr>
        <w:t xml:space="preserve">Note: (1) </w:t>
      </w:r>
      <w:r w:rsidRPr="002955FD">
        <w:rPr>
          <w:rFonts w:ascii="Bookman Old Style" w:hAnsi="Bookman Old Style" w:cs="Tahoma"/>
          <w:i/>
          <w:iCs/>
          <w:color w:val="2E2E2E"/>
          <w:sz w:val="22"/>
          <w:szCs w:val="22"/>
        </w:rPr>
        <w:t>A partire dai dati di gennaio 2016, la base di riferimento dell’indice nazionale dei prezzi al consumo per l’intera collettività (NIC) e dell’indice nazionale dei prezzi al consumo per le famiglie di operai e impiegati (FOI) è il 2015 (la precedente era il 2010).</w:t>
      </w:r>
    </w:p>
    <w:p w:rsidR="006649DC" w:rsidRPr="002955FD" w:rsidRDefault="006649DC" w:rsidP="002955FD">
      <w:pPr>
        <w:spacing w:before="40"/>
        <w:jc w:val="both"/>
        <w:rPr>
          <w:rFonts w:ascii="Bookman Old Style" w:hAnsi="Bookman Old Style" w:cs="Tahoma"/>
          <w:i/>
          <w:iCs/>
          <w:color w:val="2E2E2E"/>
          <w:sz w:val="22"/>
          <w:szCs w:val="22"/>
        </w:rPr>
      </w:pPr>
      <w:r w:rsidRPr="002955FD">
        <w:rPr>
          <w:rFonts w:ascii="Bookman Old Style" w:hAnsi="Bookman Old Style" w:cs="Tahoma"/>
          <w:b/>
          <w:bCs/>
          <w:i/>
          <w:iCs/>
          <w:color w:val="2E2E2E"/>
          <w:sz w:val="22"/>
          <w:szCs w:val="22"/>
        </w:rPr>
        <w:t>(2)</w:t>
      </w:r>
      <w:r>
        <w:rPr>
          <w:rFonts w:ascii="Bookman Old Style" w:hAnsi="Bookman Old Style" w:cs="Tahoma"/>
          <w:b/>
          <w:bCs/>
          <w:i/>
          <w:iCs/>
          <w:color w:val="2E2E2E"/>
          <w:sz w:val="22"/>
          <w:szCs w:val="22"/>
        </w:rPr>
        <w:t xml:space="preserve"> </w:t>
      </w:r>
      <w:r w:rsidRPr="002955FD">
        <w:rPr>
          <w:rFonts w:ascii="Bookman Old Style" w:hAnsi="Bookman Old Style" w:cs="Tahoma"/>
          <w:i/>
          <w:iCs/>
          <w:color w:val="2E2E2E"/>
          <w:sz w:val="22"/>
          <w:szCs w:val="22"/>
        </w:rPr>
        <w:t>I numeri fra parentesi indicano un indice ISTAT inferiore al mese precedente, con conseguente deflazione.</w:t>
      </w:r>
    </w:p>
    <w:p w:rsidR="006649DC" w:rsidRPr="002955FD" w:rsidRDefault="006649DC" w:rsidP="002955FD">
      <w:pPr>
        <w:spacing w:before="120"/>
        <w:jc w:val="both"/>
        <w:rPr>
          <w:rFonts w:ascii="Bookman Old Style" w:hAnsi="Bookman Old Style"/>
          <w:bCs/>
          <w:sz w:val="22"/>
          <w:szCs w:val="22"/>
          <w:u w:val="single"/>
        </w:rPr>
      </w:pPr>
    </w:p>
    <w:p w:rsidR="006649DC" w:rsidRPr="002955FD" w:rsidRDefault="006649DC" w:rsidP="002955FD">
      <w:pPr>
        <w:spacing w:before="120"/>
        <w:jc w:val="both"/>
        <w:rPr>
          <w:rFonts w:ascii="Bookman Old Style" w:hAnsi="Bookman Old Style"/>
          <w:bCs/>
          <w:sz w:val="22"/>
          <w:szCs w:val="22"/>
          <w:u w:val="single"/>
        </w:rPr>
      </w:pPr>
    </w:p>
    <w:p w:rsidR="006649DC" w:rsidRPr="002955FD" w:rsidRDefault="006649DC" w:rsidP="002955FD">
      <w:pPr>
        <w:spacing w:before="120"/>
        <w:jc w:val="both"/>
        <w:rPr>
          <w:rFonts w:ascii="Bookman Old Style" w:hAnsi="Bookman Old Style"/>
          <w:bCs/>
          <w:sz w:val="22"/>
          <w:szCs w:val="22"/>
          <w:u w:val="single"/>
        </w:rPr>
      </w:pPr>
    </w:p>
    <w:p w:rsidR="006649DC" w:rsidRPr="002955FD" w:rsidRDefault="006649DC" w:rsidP="002955FD">
      <w:pPr>
        <w:spacing w:before="120"/>
        <w:jc w:val="both"/>
        <w:rPr>
          <w:rFonts w:ascii="Bookman Old Style" w:hAnsi="Bookman Old Style"/>
          <w:sz w:val="22"/>
          <w:szCs w:val="22"/>
          <w:u w:val="single"/>
        </w:rPr>
      </w:pPr>
      <w:r w:rsidRPr="002955FD">
        <w:rPr>
          <w:rFonts w:ascii="Bookman Old Style" w:hAnsi="Bookman Old Style"/>
          <w:bCs/>
          <w:sz w:val="22"/>
          <w:szCs w:val="22"/>
          <w:u w:val="single"/>
        </w:rPr>
        <w:t>Le modalità di calcolo del coefficiente di rivalutazione</w:t>
      </w:r>
    </w:p>
    <w:p w:rsidR="006649DC" w:rsidRPr="002955FD" w:rsidRDefault="006649DC" w:rsidP="002955FD">
      <w:pPr>
        <w:jc w:val="both"/>
        <w:rPr>
          <w:rFonts w:ascii="Bookman Old Style" w:hAnsi="Bookman Old Style" w:cs="Tahoma"/>
          <w:color w:val="2E2E2E"/>
          <w:sz w:val="22"/>
          <w:szCs w:val="22"/>
        </w:rPr>
      </w:pPr>
      <w:r w:rsidRPr="002955FD">
        <w:rPr>
          <w:rFonts w:ascii="Bookman Old Style" w:hAnsi="Bookman Old Style" w:cs="Tahoma"/>
          <w:color w:val="2E2E2E"/>
          <w:sz w:val="22"/>
          <w:szCs w:val="22"/>
        </w:rPr>
        <w:t xml:space="preserve">Il trattamento di fine rapporto di cui all’articolo 2120 del codice civile, con esclusione della quota maturata nell'anno, è incrementato, su base composta, al 31 dicembre di ogni anno, con l'applicazione di un tasso costituito dall'1,5 per cento in misura fissa e dal 75 per cento dell'aumento dell'indice dei prezzi al consumo per le famiglie di operai ed impiegati, accertato dall'ISTAT rispetto al mese di dicembre dell'anno precedente. </w:t>
      </w:r>
    </w:p>
    <w:p w:rsidR="006649DC" w:rsidRPr="002955FD" w:rsidRDefault="006649DC" w:rsidP="002955FD">
      <w:pPr>
        <w:jc w:val="both"/>
        <w:rPr>
          <w:rFonts w:ascii="Bookman Old Style" w:hAnsi="Bookman Old Style" w:cs="Tahoma"/>
          <w:color w:val="2E2E2E"/>
          <w:sz w:val="22"/>
          <w:szCs w:val="22"/>
        </w:rPr>
      </w:pPr>
      <w:r w:rsidRPr="002955FD">
        <w:rPr>
          <w:rFonts w:ascii="Bookman Old Style" w:hAnsi="Bookman Old Style" w:cs="Tahoma"/>
          <w:color w:val="2E2E2E"/>
          <w:sz w:val="22"/>
          <w:szCs w:val="22"/>
        </w:rPr>
        <w:t>Ai fini della applicazione del tasso di rivalutazione di cui al comma precedente per frazioni di anno, l'incremento dell'indice ISTAT è quello risultante nel mese di cessazione del rapporto di lavoro rispetto a quello di dicembre dell'anno precedente. Le frazioni di mese uguali o superiori a quindici giorni si computano come mese intero.</w:t>
      </w:r>
    </w:p>
    <w:p w:rsidR="006649DC" w:rsidRPr="002955FD" w:rsidRDefault="006649DC" w:rsidP="002955FD">
      <w:pPr>
        <w:jc w:val="both"/>
        <w:rPr>
          <w:rFonts w:ascii="Bookman Old Style" w:hAnsi="Bookman Old Style"/>
          <w:sz w:val="22"/>
          <w:szCs w:val="22"/>
        </w:rPr>
      </w:pPr>
    </w:p>
    <w:p w:rsidR="006649DC" w:rsidRPr="003F7746" w:rsidRDefault="006649DC" w:rsidP="003F7746">
      <w:pPr>
        <w:spacing w:before="120"/>
        <w:jc w:val="both"/>
        <w:rPr>
          <w:rFonts w:ascii="Bookman Old Style" w:hAnsi="Bookman Old Style"/>
          <w:b/>
          <w:bCs/>
          <w:sz w:val="20"/>
          <w:szCs w:val="20"/>
        </w:rPr>
      </w:pPr>
      <w:r w:rsidRPr="002955FD">
        <w:rPr>
          <w:rFonts w:ascii="Bookman Old Style" w:hAnsi="Bookman Old Style"/>
          <w:sz w:val="22"/>
          <w:szCs w:val="22"/>
        </w:rPr>
        <w:t xml:space="preserve">Ad </w:t>
      </w:r>
      <w:r w:rsidRPr="002955FD">
        <w:rPr>
          <w:rFonts w:ascii="Bookman Old Style" w:hAnsi="Bookman Old Style"/>
          <w:b/>
          <w:bCs/>
          <w:sz w:val="22"/>
          <w:szCs w:val="22"/>
        </w:rPr>
        <w:t>esempio</w:t>
      </w:r>
      <w:r w:rsidRPr="002955FD">
        <w:rPr>
          <w:rFonts w:ascii="Bookman Old Style" w:hAnsi="Bookman Old Style"/>
          <w:sz w:val="22"/>
          <w:szCs w:val="22"/>
        </w:rPr>
        <w:t xml:space="preserve">, il dato per il mese di </w:t>
      </w:r>
      <w:r>
        <w:rPr>
          <w:rFonts w:ascii="Bookman Old Style" w:hAnsi="Bookman Old Style"/>
          <w:sz w:val="22"/>
          <w:szCs w:val="22"/>
        </w:rPr>
        <w:t>dicembre 2017</w:t>
      </w:r>
      <w:r w:rsidRPr="002955FD">
        <w:rPr>
          <w:rFonts w:ascii="Bookman Old Style" w:hAnsi="Bookman Old Style"/>
          <w:sz w:val="22"/>
          <w:szCs w:val="22"/>
        </w:rPr>
        <w:t xml:space="preserve">, pari </w:t>
      </w:r>
      <w:r w:rsidRPr="00EE783C">
        <w:rPr>
          <w:rFonts w:ascii="Bookman Old Style" w:hAnsi="Bookman Old Style"/>
          <w:sz w:val="22"/>
          <w:szCs w:val="22"/>
        </w:rPr>
        <w:t xml:space="preserve">a </w:t>
      </w:r>
      <w:r w:rsidRPr="003F7746">
        <w:rPr>
          <w:rFonts w:ascii="Bookman Old Style" w:hAnsi="Bookman Old Style"/>
          <w:sz w:val="22"/>
          <w:szCs w:val="22"/>
        </w:rPr>
        <w:t>2,09820539</w:t>
      </w:r>
      <w:r w:rsidRPr="00EE783C">
        <w:rPr>
          <w:rFonts w:ascii="Bookman Old Style" w:hAnsi="Bookman Old Style"/>
          <w:bCs/>
          <w:sz w:val="22"/>
          <w:szCs w:val="22"/>
        </w:rPr>
        <w:t xml:space="preserve">, </w:t>
      </w:r>
      <w:r w:rsidRPr="00EE783C">
        <w:rPr>
          <w:rFonts w:ascii="Bookman Old Style" w:hAnsi="Bookman Old Style"/>
          <w:sz w:val="22"/>
          <w:szCs w:val="22"/>
        </w:rPr>
        <w:t>risulta determinato</w:t>
      </w:r>
      <w:r w:rsidRPr="002955FD">
        <w:rPr>
          <w:rFonts w:ascii="Bookman Old Style" w:hAnsi="Bookman Old Style"/>
          <w:sz w:val="22"/>
          <w:szCs w:val="22"/>
        </w:rPr>
        <w:t xml:space="preserve"> nel modo seguente:</w:t>
      </w:r>
    </w:p>
    <w:tbl>
      <w:tblPr>
        <w:tblW w:w="526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624"/>
        <w:gridCol w:w="8641"/>
      </w:tblGrid>
      <w:tr w:rsidR="006649DC" w:rsidRPr="002955FD" w:rsidTr="00551564">
        <w:trPr>
          <w:tblCellSpacing w:w="15" w:type="dxa"/>
        </w:trPr>
        <w:tc>
          <w:tcPr>
            <w:tcW w:w="769" w:type="pct"/>
            <w:tcBorders>
              <w:top w:val="outset" w:sz="6" w:space="0" w:color="auto"/>
              <w:bottom w:val="outset" w:sz="6" w:space="0" w:color="auto"/>
              <w:right w:val="outset" w:sz="6" w:space="0" w:color="auto"/>
            </w:tcBorders>
            <w:vAlign w:val="center"/>
          </w:tcPr>
          <w:p w:rsidR="006649DC" w:rsidRPr="002955FD" w:rsidRDefault="006649DC" w:rsidP="00CC0AB0">
            <w:pPr>
              <w:jc w:val="both"/>
              <w:rPr>
                <w:rFonts w:ascii="Bookman Old Style" w:hAnsi="Bookman Old Style"/>
                <w:sz w:val="22"/>
                <w:szCs w:val="22"/>
              </w:rPr>
            </w:pPr>
            <w:r>
              <w:rPr>
                <w:rFonts w:ascii="Bookman Old Style" w:hAnsi="Bookman Old Style"/>
                <w:sz w:val="22"/>
                <w:szCs w:val="22"/>
              </w:rPr>
              <w:t>1,500%</w:t>
            </w:r>
          </w:p>
        </w:tc>
        <w:tc>
          <w:tcPr>
            <w:tcW w:w="4186" w:type="pct"/>
            <w:tcBorders>
              <w:top w:val="outset" w:sz="6" w:space="0" w:color="auto"/>
              <w:left w:val="outset" w:sz="6" w:space="0" w:color="auto"/>
              <w:bottom w:val="outset" w:sz="6" w:space="0" w:color="auto"/>
            </w:tcBorders>
            <w:vAlign w:val="center"/>
          </w:tcPr>
          <w:p w:rsidR="006649DC" w:rsidRPr="002955FD" w:rsidRDefault="006649DC" w:rsidP="00CC0AB0">
            <w:pPr>
              <w:jc w:val="both"/>
              <w:rPr>
                <w:rFonts w:ascii="Bookman Old Style" w:hAnsi="Bookman Old Style"/>
                <w:sz w:val="22"/>
                <w:szCs w:val="22"/>
              </w:rPr>
            </w:pPr>
            <w:r w:rsidRPr="002955FD">
              <w:rPr>
                <w:rFonts w:ascii="Bookman Old Style" w:hAnsi="Bookman Old Style"/>
                <w:b/>
                <w:bCs/>
                <w:sz w:val="22"/>
                <w:szCs w:val="22"/>
              </w:rPr>
              <w:t>A) Quota fissa</w:t>
            </w:r>
            <w:r w:rsidRPr="002955FD">
              <w:rPr>
                <w:rFonts w:ascii="Bookman Old Style" w:hAnsi="Bookman Old Style"/>
                <w:sz w:val="22"/>
                <w:szCs w:val="22"/>
              </w:rPr>
              <w:t xml:space="preserve"> pari a </w:t>
            </w:r>
            <w:r>
              <w:rPr>
                <w:rFonts w:ascii="Bookman Old Style" w:hAnsi="Bookman Old Style"/>
                <w:sz w:val="22"/>
                <w:szCs w:val="22"/>
              </w:rPr>
              <w:t>12</w:t>
            </w:r>
            <w:r w:rsidRPr="002955FD">
              <w:rPr>
                <w:rFonts w:ascii="Bookman Old Style" w:hAnsi="Bookman Old Style"/>
                <w:sz w:val="22"/>
                <w:szCs w:val="22"/>
              </w:rPr>
              <w:t>/12 dell'</w:t>
            </w:r>
            <w:r>
              <w:rPr>
                <w:rFonts w:ascii="Bookman Old Style" w:hAnsi="Bookman Old Style"/>
                <w:sz w:val="22"/>
                <w:szCs w:val="22"/>
              </w:rPr>
              <w:t xml:space="preserve"> </w:t>
            </w:r>
            <w:r w:rsidRPr="002955FD">
              <w:rPr>
                <w:rFonts w:ascii="Bookman Old Style" w:hAnsi="Bookman Old Style"/>
                <w:sz w:val="22"/>
                <w:szCs w:val="22"/>
              </w:rPr>
              <w:t>1,5 per cento</w:t>
            </w:r>
          </w:p>
        </w:tc>
      </w:tr>
      <w:tr w:rsidR="006649DC" w:rsidRPr="002955FD" w:rsidTr="00551564">
        <w:trPr>
          <w:tblCellSpacing w:w="15" w:type="dxa"/>
        </w:trPr>
        <w:tc>
          <w:tcPr>
            <w:tcW w:w="769" w:type="pct"/>
            <w:tcBorders>
              <w:top w:val="outset" w:sz="6" w:space="0" w:color="auto"/>
              <w:bottom w:val="outset" w:sz="6" w:space="0" w:color="auto"/>
              <w:right w:val="outset" w:sz="6" w:space="0" w:color="auto"/>
            </w:tcBorders>
            <w:vAlign w:val="center"/>
          </w:tcPr>
          <w:p w:rsidR="006649DC" w:rsidRPr="002955FD" w:rsidRDefault="006649DC" w:rsidP="003F7746">
            <w:pPr>
              <w:jc w:val="center"/>
              <w:rPr>
                <w:rFonts w:ascii="Bookman Old Style" w:hAnsi="Bookman Old Style"/>
                <w:sz w:val="22"/>
                <w:szCs w:val="22"/>
              </w:rPr>
            </w:pPr>
            <w:r w:rsidRPr="00DB5B57">
              <w:rPr>
                <w:rFonts w:ascii="Bookman Old Style" w:hAnsi="Bookman Old Style"/>
                <w:sz w:val="22"/>
                <w:szCs w:val="22"/>
              </w:rPr>
              <w:t>0,</w:t>
            </w:r>
            <w:r>
              <w:rPr>
                <w:rFonts w:ascii="Bookman Old Style" w:hAnsi="Bookman Old Style"/>
                <w:sz w:val="22"/>
                <w:szCs w:val="22"/>
              </w:rPr>
              <w:t>59820539</w:t>
            </w:r>
            <w:r w:rsidRPr="00EE783C">
              <w:rPr>
                <w:rFonts w:ascii="Bookman Old Style" w:hAnsi="Bookman Old Style"/>
                <w:sz w:val="22"/>
                <w:szCs w:val="22"/>
              </w:rPr>
              <w:t>%</w:t>
            </w:r>
          </w:p>
        </w:tc>
        <w:tc>
          <w:tcPr>
            <w:tcW w:w="4186" w:type="pct"/>
            <w:tcBorders>
              <w:top w:val="outset" w:sz="6" w:space="0" w:color="auto"/>
              <w:left w:val="outset" w:sz="6" w:space="0" w:color="auto"/>
              <w:bottom w:val="outset" w:sz="6" w:space="0" w:color="auto"/>
            </w:tcBorders>
            <w:vAlign w:val="center"/>
          </w:tcPr>
          <w:p w:rsidR="006649DC" w:rsidRPr="002955FD" w:rsidRDefault="006649DC" w:rsidP="002955FD">
            <w:pPr>
              <w:jc w:val="both"/>
              <w:rPr>
                <w:rFonts w:ascii="Bookman Old Style" w:hAnsi="Bookman Old Style"/>
                <w:sz w:val="22"/>
                <w:szCs w:val="22"/>
              </w:rPr>
            </w:pPr>
            <w:r w:rsidRPr="002955FD">
              <w:rPr>
                <w:rFonts w:ascii="Bookman Old Style" w:hAnsi="Bookman Old Style"/>
                <w:b/>
                <w:bCs/>
                <w:sz w:val="22"/>
                <w:szCs w:val="22"/>
              </w:rPr>
              <w:t>B)</w:t>
            </w:r>
            <w:r>
              <w:rPr>
                <w:rFonts w:ascii="Bookman Old Style" w:hAnsi="Bookman Old Style"/>
                <w:b/>
                <w:bCs/>
                <w:sz w:val="22"/>
                <w:szCs w:val="22"/>
              </w:rPr>
              <w:t xml:space="preserve"> </w:t>
            </w:r>
            <w:r w:rsidRPr="002955FD">
              <w:rPr>
                <w:rFonts w:ascii="Bookman Old Style" w:hAnsi="Bookman Old Style"/>
                <w:b/>
                <w:bCs/>
                <w:sz w:val="22"/>
                <w:szCs w:val="22"/>
              </w:rPr>
              <w:t>75% dell’incremento percentuale dell’indice ISTAT</w:t>
            </w:r>
            <w:r w:rsidRPr="002955FD">
              <w:rPr>
                <w:rFonts w:ascii="Bookman Old Style" w:hAnsi="Bookman Old Style"/>
                <w:sz w:val="22"/>
                <w:szCs w:val="22"/>
              </w:rPr>
              <w:t xml:space="preserve"> dei prezzi al consumo per </w:t>
            </w:r>
            <w:r w:rsidRPr="00347EDC">
              <w:rPr>
                <w:rFonts w:ascii="Bookman Old Style" w:hAnsi="Bookman Old Style"/>
                <w:sz w:val="22"/>
                <w:szCs w:val="22"/>
              </w:rPr>
              <w:t xml:space="preserve">famiglie di operai ed impiegati: il calcolo è effettuato dal raffronto tra l’indice del mese di </w:t>
            </w:r>
            <w:r>
              <w:rPr>
                <w:rFonts w:ascii="Bookman Old Style" w:hAnsi="Bookman Old Style"/>
                <w:sz w:val="22"/>
                <w:szCs w:val="22"/>
              </w:rPr>
              <w:t>novembre</w:t>
            </w:r>
            <w:r w:rsidRPr="00347EDC">
              <w:rPr>
                <w:rFonts w:ascii="Bookman Old Style" w:hAnsi="Bookman Old Style"/>
                <w:sz w:val="22"/>
                <w:szCs w:val="22"/>
              </w:rPr>
              <w:t xml:space="preserve"> 2017</w:t>
            </w:r>
            <w:r>
              <w:rPr>
                <w:rFonts w:ascii="Bookman Old Style" w:hAnsi="Bookman Old Style"/>
                <w:sz w:val="22"/>
                <w:szCs w:val="22"/>
              </w:rPr>
              <w:t xml:space="preserve"> (</w:t>
            </w:r>
            <w:r w:rsidRPr="002955FD">
              <w:rPr>
                <w:rFonts w:ascii="Bookman Old Style" w:hAnsi="Bookman Old Style"/>
                <w:sz w:val="22"/>
                <w:szCs w:val="22"/>
              </w:rPr>
              <w:t>X</w:t>
            </w:r>
            <w:r w:rsidRPr="00E51899">
              <w:rPr>
                <w:rFonts w:ascii="Bookman Old Style" w:hAnsi="Bookman Old Style"/>
                <w:sz w:val="22"/>
                <w:szCs w:val="22"/>
              </w:rPr>
              <w:t>=</w:t>
            </w:r>
            <w:r w:rsidRPr="00E51899">
              <w:rPr>
                <w:rFonts w:ascii="Bookman Old Style" w:hAnsi="Bookman Old Style"/>
                <w:bCs/>
                <w:sz w:val="22"/>
                <w:szCs w:val="22"/>
              </w:rPr>
              <w:t>10</w:t>
            </w:r>
            <w:r>
              <w:rPr>
                <w:rFonts w:ascii="Bookman Old Style" w:hAnsi="Bookman Old Style"/>
                <w:bCs/>
                <w:sz w:val="22"/>
                <w:szCs w:val="22"/>
              </w:rPr>
              <w:t>0,8)</w:t>
            </w:r>
            <w:r w:rsidRPr="00E51899">
              <w:rPr>
                <w:rFonts w:ascii="Bookman Old Style" w:hAnsi="Bookman Old Style"/>
                <w:sz w:val="22"/>
                <w:szCs w:val="22"/>
              </w:rPr>
              <w:t xml:space="preserve"> rispetto all’indice del mese di </w:t>
            </w:r>
            <w:r>
              <w:rPr>
                <w:rFonts w:ascii="Bookman Old Style" w:hAnsi="Bookman Old Style"/>
                <w:sz w:val="22"/>
                <w:szCs w:val="22"/>
              </w:rPr>
              <w:t>dicembre 2016</w:t>
            </w:r>
            <w:r w:rsidRPr="00E51899">
              <w:rPr>
                <w:rFonts w:ascii="Bookman Old Style" w:hAnsi="Bookman Old Style"/>
                <w:sz w:val="22"/>
                <w:szCs w:val="22"/>
              </w:rPr>
              <w:t xml:space="preserve"> (Y=1</w:t>
            </w:r>
            <w:r w:rsidRPr="00E51899">
              <w:rPr>
                <w:rFonts w:ascii="Bookman Old Style" w:hAnsi="Bookman Old Style"/>
                <w:bCs/>
                <w:sz w:val="22"/>
                <w:szCs w:val="22"/>
              </w:rPr>
              <w:t>0</w:t>
            </w:r>
            <w:r>
              <w:rPr>
                <w:rFonts w:ascii="Bookman Old Style" w:hAnsi="Bookman Old Style"/>
                <w:bCs/>
                <w:sz w:val="22"/>
                <w:szCs w:val="22"/>
              </w:rPr>
              <w:t>1</w:t>
            </w:r>
            <w:r w:rsidRPr="00E51899">
              <w:rPr>
                <w:rFonts w:ascii="Bookman Old Style" w:hAnsi="Bookman Old Style"/>
                <w:bCs/>
                <w:sz w:val="22"/>
                <w:szCs w:val="22"/>
              </w:rPr>
              <w:t>,</w:t>
            </w:r>
            <w:r>
              <w:rPr>
                <w:rFonts w:ascii="Bookman Old Style" w:hAnsi="Bookman Old Style"/>
                <w:bCs/>
                <w:sz w:val="22"/>
                <w:szCs w:val="22"/>
              </w:rPr>
              <w:t>1</w:t>
            </w:r>
            <w:r w:rsidRPr="002955FD">
              <w:rPr>
                <w:rFonts w:ascii="Bookman Old Style" w:hAnsi="Bookman Old Style"/>
                <w:sz w:val="22"/>
                <w:szCs w:val="22"/>
              </w:rPr>
              <w:t xml:space="preserve">). </w:t>
            </w:r>
          </w:p>
          <w:p w:rsidR="006649DC" w:rsidRPr="00F80BEF" w:rsidRDefault="006649DC" w:rsidP="00E51899">
            <w:pPr>
              <w:jc w:val="both"/>
              <w:rPr>
                <w:rFonts w:ascii="Bookman Old Style" w:hAnsi="Bookman Old Style"/>
                <w:sz w:val="22"/>
                <w:szCs w:val="22"/>
              </w:rPr>
            </w:pPr>
            <w:r w:rsidRPr="002955FD">
              <w:rPr>
                <w:rFonts w:ascii="Bookman Old Style" w:hAnsi="Bookman Old Style"/>
                <w:sz w:val="22"/>
                <w:szCs w:val="22"/>
              </w:rPr>
              <w:t>L’</w:t>
            </w:r>
            <w:r w:rsidRPr="002955FD">
              <w:rPr>
                <w:rFonts w:ascii="Bookman Old Style" w:hAnsi="Bookman Old Style"/>
                <w:b/>
                <w:sz w:val="22"/>
                <w:szCs w:val="22"/>
              </w:rPr>
              <w:t>incidenza</w:t>
            </w:r>
            <w:r w:rsidRPr="002955FD">
              <w:rPr>
                <w:rFonts w:ascii="Bookman Old Style" w:hAnsi="Bookman Old Style"/>
                <w:sz w:val="22"/>
                <w:szCs w:val="22"/>
              </w:rPr>
              <w:t xml:space="preserve"> %, cioè (X-Y) / Y x 100, della variazione è </w:t>
            </w:r>
            <w:r w:rsidRPr="003F7746">
              <w:rPr>
                <w:rFonts w:ascii="Bookman Old Style" w:hAnsi="Bookman Old Style"/>
                <w:sz w:val="22"/>
                <w:szCs w:val="22"/>
              </w:rPr>
              <w:t>0,79760718</w:t>
            </w:r>
            <w:r w:rsidRPr="00EE783C">
              <w:rPr>
                <w:rFonts w:ascii="Bookman Old Style" w:hAnsi="Bookman Old Style"/>
                <w:sz w:val="22"/>
                <w:szCs w:val="22"/>
              </w:rPr>
              <w:t>%.</w:t>
            </w:r>
          </w:p>
        </w:tc>
      </w:tr>
      <w:tr w:rsidR="006649DC" w:rsidRPr="002955FD" w:rsidTr="00551564">
        <w:trPr>
          <w:tblCellSpacing w:w="15" w:type="dxa"/>
        </w:trPr>
        <w:tc>
          <w:tcPr>
            <w:tcW w:w="769" w:type="pct"/>
            <w:tcBorders>
              <w:top w:val="outset" w:sz="6" w:space="0" w:color="auto"/>
              <w:bottom w:val="outset" w:sz="6" w:space="0" w:color="auto"/>
              <w:right w:val="outset" w:sz="6" w:space="0" w:color="auto"/>
            </w:tcBorders>
          </w:tcPr>
          <w:p w:rsidR="006649DC" w:rsidRPr="003F7746" w:rsidRDefault="006649DC" w:rsidP="003F7746">
            <w:pPr>
              <w:rPr>
                <w:rFonts w:ascii="Bookman Old Style" w:hAnsi="Bookman Old Style"/>
                <w:sz w:val="22"/>
                <w:szCs w:val="22"/>
              </w:rPr>
            </w:pPr>
            <w:r w:rsidRPr="003F7746">
              <w:rPr>
                <w:rFonts w:ascii="Bookman Old Style" w:hAnsi="Bookman Old Style"/>
                <w:sz w:val="22"/>
                <w:szCs w:val="22"/>
              </w:rPr>
              <w:t>2,09820539</w:t>
            </w:r>
          </w:p>
          <w:p w:rsidR="006649DC" w:rsidRPr="003F7746" w:rsidRDefault="006649DC" w:rsidP="003F7746">
            <w:pPr>
              <w:jc w:val="center"/>
              <w:rPr>
                <w:rFonts w:ascii="Bookman Old Style" w:hAnsi="Bookman Old Style"/>
                <w:sz w:val="22"/>
                <w:szCs w:val="22"/>
              </w:rPr>
            </w:pPr>
          </w:p>
        </w:tc>
        <w:tc>
          <w:tcPr>
            <w:tcW w:w="4186" w:type="pct"/>
            <w:tcBorders>
              <w:top w:val="outset" w:sz="6" w:space="0" w:color="auto"/>
              <w:left w:val="outset" w:sz="6" w:space="0" w:color="auto"/>
              <w:bottom w:val="outset" w:sz="6" w:space="0" w:color="auto"/>
            </w:tcBorders>
            <w:vAlign w:val="center"/>
          </w:tcPr>
          <w:p w:rsidR="006649DC" w:rsidRPr="002955FD" w:rsidRDefault="006649DC" w:rsidP="00551564">
            <w:pPr>
              <w:jc w:val="both"/>
              <w:rPr>
                <w:rFonts w:ascii="Bookman Old Style" w:hAnsi="Bookman Old Style"/>
                <w:sz w:val="22"/>
                <w:szCs w:val="22"/>
              </w:rPr>
            </w:pPr>
            <w:r w:rsidRPr="002955FD">
              <w:rPr>
                <w:rFonts w:ascii="Bookman Old Style" w:hAnsi="Bookman Old Style"/>
                <w:b/>
                <w:bCs/>
                <w:sz w:val="22"/>
                <w:szCs w:val="22"/>
              </w:rPr>
              <w:t>Totale = A + B</w:t>
            </w:r>
          </w:p>
        </w:tc>
      </w:tr>
      <w:tr w:rsidR="006649DC" w:rsidRPr="002955FD" w:rsidTr="00551564">
        <w:trPr>
          <w:tblCellSpacing w:w="15" w:type="dxa"/>
        </w:trPr>
        <w:tc>
          <w:tcPr>
            <w:tcW w:w="769" w:type="pct"/>
            <w:tcBorders>
              <w:top w:val="outset" w:sz="6" w:space="0" w:color="auto"/>
              <w:bottom w:val="outset" w:sz="6" w:space="0" w:color="auto"/>
              <w:right w:val="outset" w:sz="6" w:space="0" w:color="auto"/>
            </w:tcBorders>
            <w:vAlign w:val="center"/>
          </w:tcPr>
          <w:p w:rsidR="006649DC" w:rsidRPr="00634BA0" w:rsidRDefault="006649DC" w:rsidP="00551564">
            <w:pPr>
              <w:jc w:val="both"/>
              <w:rPr>
                <w:rFonts w:ascii="Bookman Old Style" w:hAnsi="Bookman Old Style"/>
                <w:bCs/>
                <w:sz w:val="22"/>
                <w:szCs w:val="22"/>
              </w:rPr>
            </w:pPr>
            <w:r w:rsidRPr="003F7746">
              <w:rPr>
                <w:rFonts w:ascii="Bookman Old Style" w:hAnsi="Bookman Old Style"/>
                <w:sz w:val="22"/>
                <w:szCs w:val="22"/>
              </w:rPr>
              <w:t>1,02098205</w:t>
            </w:r>
          </w:p>
        </w:tc>
        <w:tc>
          <w:tcPr>
            <w:tcW w:w="4186" w:type="pct"/>
            <w:tcBorders>
              <w:top w:val="outset" w:sz="6" w:space="0" w:color="auto"/>
              <w:left w:val="outset" w:sz="6" w:space="0" w:color="auto"/>
              <w:bottom w:val="outset" w:sz="6" w:space="0" w:color="auto"/>
            </w:tcBorders>
            <w:vAlign w:val="center"/>
          </w:tcPr>
          <w:p w:rsidR="006649DC" w:rsidRPr="002955FD" w:rsidRDefault="006649DC" w:rsidP="00551564">
            <w:pPr>
              <w:jc w:val="both"/>
              <w:rPr>
                <w:rFonts w:ascii="Bookman Old Style" w:hAnsi="Bookman Old Style"/>
                <w:sz w:val="22"/>
                <w:szCs w:val="22"/>
              </w:rPr>
            </w:pPr>
            <w:r w:rsidRPr="002955FD">
              <w:rPr>
                <w:rFonts w:ascii="Bookman Old Style" w:hAnsi="Bookman Old Style"/>
                <w:b/>
                <w:bCs/>
                <w:sz w:val="22"/>
                <w:szCs w:val="22"/>
              </w:rPr>
              <w:t>Montante</w:t>
            </w:r>
          </w:p>
        </w:tc>
      </w:tr>
    </w:tbl>
    <w:p w:rsidR="006649DC" w:rsidRPr="002955FD" w:rsidRDefault="006649DC" w:rsidP="002955FD">
      <w:pPr>
        <w:jc w:val="both"/>
        <w:rPr>
          <w:rFonts w:ascii="Bookman Old Style" w:hAnsi="Bookman Old Style"/>
          <w:color w:val="666666"/>
          <w:sz w:val="22"/>
          <w:szCs w:val="22"/>
        </w:rPr>
      </w:pPr>
    </w:p>
    <w:p w:rsidR="006649DC" w:rsidRPr="002955FD" w:rsidRDefault="006649DC" w:rsidP="002955FD">
      <w:pPr>
        <w:jc w:val="both"/>
        <w:rPr>
          <w:rFonts w:ascii="Bookman Old Style" w:hAnsi="Bookman Old Style"/>
          <w:color w:val="666666"/>
          <w:sz w:val="22"/>
          <w:szCs w:val="22"/>
        </w:rPr>
      </w:pPr>
    </w:p>
    <w:p w:rsidR="006649DC" w:rsidRPr="002955FD" w:rsidRDefault="006649DC" w:rsidP="002955FD">
      <w:pPr>
        <w:jc w:val="both"/>
        <w:rPr>
          <w:rFonts w:ascii="Bookman Old Style" w:hAnsi="Bookman Old Style"/>
          <w:color w:val="666666"/>
          <w:sz w:val="22"/>
          <w:szCs w:val="22"/>
        </w:rPr>
      </w:pPr>
    </w:p>
    <w:p w:rsidR="006649DC" w:rsidRPr="002955FD" w:rsidRDefault="006649DC" w:rsidP="002955FD">
      <w:pPr>
        <w:jc w:val="both"/>
        <w:rPr>
          <w:rFonts w:ascii="Bookman Old Style" w:hAnsi="Bookman Old Style"/>
          <w:color w:val="666666"/>
          <w:sz w:val="22"/>
          <w:szCs w:val="22"/>
        </w:rPr>
      </w:pPr>
    </w:p>
    <w:p w:rsidR="006649DC" w:rsidRPr="002955FD" w:rsidRDefault="006649DC" w:rsidP="002955FD">
      <w:pPr>
        <w:jc w:val="both"/>
        <w:rPr>
          <w:rFonts w:ascii="Bookman Old Style" w:hAnsi="Bookman Old Style"/>
          <w:color w:val="666666"/>
          <w:sz w:val="22"/>
          <w:szCs w:val="22"/>
        </w:rPr>
      </w:pPr>
    </w:p>
    <w:p w:rsidR="006649DC" w:rsidRPr="002955FD" w:rsidRDefault="006649DC" w:rsidP="002955FD">
      <w:pPr>
        <w:jc w:val="both"/>
        <w:rPr>
          <w:rFonts w:ascii="Bookman Old Style" w:hAnsi="Bookman Old Style"/>
          <w:color w:val="666666"/>
          <w:sz w:val="22"/>
          <w:szCs w:val="22"/>
        </w:rPr>
      </w:pPr>
    </w:p>
    <w:p w:rsidR="006649DC" w:rsidRPr="002955FD" w:rsidRDefault="006649DC" w:rsidP="002955FD">
      <w:pPr>
        <w:jc w:val="both"/>
        <w:rPr>
          <w:rFonts w:ascii="Bookman Old Style" w:hAnsi="Bookman Old Style"/>
          <w:color w:val="666666"/>
          <w:sz w:val="22"/>
          <w:szCs w:val="22"/>
        </w:rPr>
      </w:pPr>
    </w:p>
    <w:p w:rsidR="006649DC" w:rsidRPr="002955FD" w:rsidRDefault="006649DC" w:rsidP="002955FD">
      <w:pPr>
        <w:jc w:val="both"/>
        <w:rPr>
          <w:rFonts w:ascii="Bookman Old Style" w:hAnsi="Bookman Old Style"/>
          <w:color w:val="666666"/>
          <w:sz w:val="22"/>
          <w:szCs w:val="22"/>
        </w:rPr>
      </w:pPr>
    </w:p>
    <w:p w:rsidR="006649DC" w:rsidRPr="002955FD" w:rsidRDefault="006649DC" w:rsidP="002955FD">
      <w:pPr>
        <w:jc w:val="both"/>
        <w:rPr>
          <w:rFonts w:ascii="Bookman Old Style" w:hAnsi="Bookman Old Style"/>
          <w:color w:val="666666"/>
          <w:sz w:val="22"/>
          <w:szCs w:val="22"/>
        </w:rPr>
      </w:pPr>
    </w:p>
    <w:p w:rsidR="006649DC" w:rsidRPr="002955FD" w:rsidRDefault="006649DC" w:rsidP="002955FD">
      <w:pPr>
        <w:jc w:val="both"/>
        <w:rPr>
          <w:rFonts w:ascii="Bookman Old Style" w:hAnsi="Bookman Old Style"/>
          <w:color w:val="666666"/>
          <w:sz w:val="22"/>
          <w:szCs w:val="22"/>
        </w:rPr>
      </w:pPr>
    </w:p>
    <w:p w:rsidR="006649DC" w:rsidRDefault="006649DC" w:rsidP="002955FD">
      <w:pPr>
        <w:jc w:val="both"/>
        <w:rPr>
          <w:rFonts w:ascii="Bookman Old Style" w:hAnsi="Bookman Old Style"/>
          <w:color w:val="666666"/>
          <w:sz w:val="22"/>
          <w:szCs w:val="22"/>
        </w:rPr>
      </w:pPr>
    </w:p>
    <w:p w:rsidR="006649DC" w:rsidRDefault="006649DC" w:rsidP="002955FD">
      <w:pPr>
        <w:jc w:val="both"/>
        <w:rPr>
          <w:rFonts w:ascii="Bookman Old Style" w:hAnsi="Bookman Old Style"/>
          <w:color w:val="666666"/>
          <w:sz w:val="22"/>
          <w:szCs w:val="22"/>
        </w:rPr>
      </w:pPr>
    </w:p>
    <w:p w:rsidR="006649DC" w:rsidRDefault="006649DC" w:rsidP="002955FD">
      <w:pPr>
        <w:jc w:val="both"/>
        <w:rPr>
          <w:rFonts w:ascii="Bookman Old Style" w:hAnsi="Bookman Old Style"/>
          <w:color w:val="666666"/>
          <w:sz w:val="22"/>
          <w:szCs w:val="22"/>
        </w:rPr>
      </w:pPr>
    </w:p>
    <w:p w:rsidR="006649DC" w:rsidRDefault="006649DC" w:rsidP="002955FD">
      <w:pPr>
        <w:jc w:val="both"/>
        <w:rPr>
          <w:rFonts w:ascii="Bookman Old Style" w:hAnsi="Bookman Old Style"/>
          <w:color w:val="666666"/>
          <w:sz w:val="22"/>
          <w:szCs w:val="22"/>
        </w:rPr>
      </w:pPr>
    </w:p>
    <w:p w:rsidR="006649DC" w:rsidRDefault="006649DC" w:rsidP="002955FD">
      <w:pPr>
        <w:jc w:val="both"/>
        <w:rPr>
          <w:rFonts w:ascii="Bookman Old Style" w:hAnsi="Bookman Old Style"/>
          <w:color w:val="666666"/>
          <w:sz w:val="22"/>
          <w:szCs w:val="22"/>
        </w:rPr>
      </w:pPr>
    </w:p>
    <w:p w:rsidR="006649DC" w:rsidRDefault="006649DC" w:rsidP="002955FD">
      <w:pPr>
        <w:jc w:val="both"/>
        <w:rPr>
          <w:rFonts w:ascii="Bookman Old Style" w:hAnsi="Bookman Old Style"/>
          <w:color w:val="666666"/>
          <w:sz w:val="22"/>
          <w:szCs w:val="22"/>
        </w:rPr>
      </w:pPr>
    </w:p>
    <w:p w:rsidR="006649DC" w:rsidRPr="002955FD" w:rsidRDefault="006649DC" w:rsidP="002955FD">
      <w:pPr>
        <w:jc w:val="both"/>
        <w:rPr>
          <w:rFonts w:ascii="Bookman Old Style" w:hAnsi="Bookman Old Style"/>
          <w:color w:val="666666"/>
          <w:sz w:val="22"/>
          <w:szCs w:val="22"/>
        </w:rPr>
      </w:pPr>
    </w:p>
    <w:p w:rsidR="006649DC" w:rsidRPr="002955FD" w:rsidRDefault="006649DC" w:rsidP="002955FD">
      <w:pPr>
        <w:jc w:val="both"/>
        <w:rPr>
          <w:rFonts w:ascii="Bookman Old Style" w:hAnsi="Bookman Old Style"/>
          <w:color w:val="666666"/>
          <w:sz w:val="22"/>
          <w:szCs w:val="22"/>
        </w:rPr>
      </w:pPr>
    </w:p>
    <w:p w:rsidR="006649DC" w:rsidRPr="002955FD" w:rsidRDefault="006649DC" w:rsidP="002955FD">
      <w:pPr>
        <w:jc w:val="both"/>
        <w:rPr>
          <w:rFonts w:ascii="Bookman Old Style" w:hAnsi="Bookman Old Style"/>
          <w:color w:val="666666"/>
          <w:sz w:val="22"/>
          <w:szCs w:val="22"/>
        </w:rPr>
      </w:pPr>
    </w:p>
    <w:p w:rsidR="006649DC" w:rsidRPr="002955FD" w:rsidRDefault="006649DC" w:rsidP="002955FD">
      <w:pPr>
        <w:pStyle w:val="Heading2"/>
        <w:jc w:val="both"/>
        <w:rPr>
          <w:rFonts w:ascii="Bookman Old Style" w:hAnsi="Bookman Old Style"/>
          <w:sz w:val="22"/>
          <w:szCs w:val="22"/>
        </w:rPr>
      </w:pPr>
      <w:bookmarkStart w:id="26" w:name="_Toc448485263"/>
      <w:bookmarkStart w:id="27" w:name="_Toc448485387"/>
      <w:bookmarkStart w:id="28" w:name="_Toc448485526"/>
      <w:bookmarkStart w:id="29" w:name="_Toc448485654"/>
      <w:bookmarkStart w:id="30" w:name="_Toc448485779"/>
      <w:bookmarkStart w:id="31" w:name="_Toc448485882"/>
      <w:bookmarkStart w:id="32" w:name="_Toc448494585"/>
      <w:bookmarkStart w:id="33" w:name="_Toc506559944"/>
      <w:r w:rsidRPr="002955FD">
        <w:rPr>
          <w:rFonts w:ascii="Bookman Old Style" w:hAnsi="Bookman Old Style"/>
          <w:caps w:val="0"/>
          <w:sz w:val="22"/>
          <w:szCs w:val="22"/>
        </w:rPr>
        <w:t>INTERESSI LEGALI</w:t>
      </w:r>
      <w:bookmarkEnd w:id="26"/>
      <w:bookmarkEnd w:id="27"/>
      <w:bookmarkEnd w:id="28"/>
      <w:bookmarkEnd w:id="29"/>
      <w:bookmarkEnd w:id="30"/>
      <w:bookmarkEnd w:id="31"/>
      <w:bookmarkEnd w:id="32"/>
      <w:bookmarkEnd w:id="33"/>
    </w:p>
    <w:p w:rsidR="006649DC" w:rsidRPr="002955FD" w:rsidRDefault="006649DC" w:rsidP="002955FD">
      <w:pPr>
        <w:shd w:val="clear" w:color="auto" w:fill="FFFFFF"/>
        <w:spacing w:line="285" w:lineRule="atLeast"/>
        <w:jc w:val="both"/>
        <w:rPr>
          <w:rFonts w:ascii="Bookman Old Style" w:hAnsi="Bookman Old Style" w:cs="Arial"/>
          <w:color w:val="000000"/>
          <w:sz w:val="22"/>
          <w:szCs w:val="22"/>
        </w:rPr>
      </w:pPr>
      <w:r w:rsidRPr="002955FD">
        <w:rPr>
          <w:rFonts w:ascii="Bookman Old Style" w:hAnsi="Bookman Old Style" w:cs="Arial"/>
          <w:color w:val="000000"/>
          <w:sz w:val="22"/>
          <w:szCs w:val="22"/>
        </w:rPr>
        <w:t xml:space="preserve">Il tasso di </w:t>
      </w:r>
      <w:r w:rsidRPr="002955FD">
        <w:rPr>
          <w:rFonts w:ascii="Bookman Old Style" w:hAnsi="Bookman Old Style" w:cs="Arial"/>
          <w:b/>
          <w:bCs/>
          <w:color w:val="333333"/>
          <w:sz w:val="22"/>
          <w:szCs w:val="22"/>
        </w:rPr>
        <w:t>interesse legale (art. 1284, c.c.)</w:t>
      </w:r>
      <w:r w:rsidRPr="002955FD">
        <w:rPr>
          <w:rFonts w:ascii="Bookman Old Style" w:hAnsi="Bookman Old Style" w:cs="Arial"/>
          <w:color w:val="000000"/>
          <w:sz w:val="22"/>
          <w:szCs w:val="22"/>
        </w:rPr>
        <w:t xml:space="preserve"> è fissato dal legislatore, ovvero il Ministro del Tesoro, con decreto pubblicato sulla Gazzetta Ufficiale. </w:t>
      </w:r>
    </w:p>
    <w:p w:rsidR="006649DC" w:rsidRPr="002955FD" w:rsidRDefault="006649DC" w:rsidP="002955FD">
      <w:pPr>
        <w:jc w:val="both"/>
        <w:rPr>
          <w:rFonts w:ascii="Bookman Old Style" w:hAnsi="Bookman Old Style"/>
          <w:bCs/>
          <w:sz w:val="22"/>
          <w:szCs w:val="22"/>
        </w:rPr>
      </w:pPr>
    </w:p>
    <w:tbl>
      <w:tblPr>
        <w:tblW w:w="4500" w:type="pct"/>
        <w:jc w:val="center"/>
        <w:tblCellSpacing w:w="15" w:type="dxa"/>
        <w:tblBorders>
          <w:top w:val="single" w:sz="12" w:space="0" w:color="EEEEEE"/>
          <w:left w:val="single" w:sz="12" w:space="0" w:color="DDDDDD"/>
          <w:bottom w:val="single" w:sz="12" w:space="0" w:color="777777"/>
          <w:right w:val="single" w:sz="12" w:space="0" w:color="AAAAAA"/>
        </w:tblBorders>
        <w:tblCellMar>
          <w:top w:w="15" w:type="dxa"/>
          <w:left w:w="15" w:type="dxa"/>
          <w:bottom w:w="15" w:type="dxa"/>
          <w:right w:w="15" w:type="dxa"/>
        </w:tblCellMar>
        <w:tblLook w:val="0000"/>
      </w:tblPr>
      <w:tblGrid>
        <w:gridCol w:w="1706"/>
        <w:gridCol w:w="1692"/>
        <w:gridCol w:w="1137"/>
        <w:gridCol w:w="4337"/>
      </w:tblGrid>
      <w:tr w:rsidR="006649DC" w:rsidRPr="002955FD" w:rsidTr="009F1D32">
        <w:trPr>
          <w:trHeight w:val="391"/>
          <w:tblCellSpacing w:w="15" w:type="dxa"/>
          <w:jc w:val="center"/>
        </w:trPr>
        <w:tc>
          <w:tcPr>
            <w:tcW w:w="0" w:type="auto"/>
            <w:gridSpan w:val="4"/>
            <w:tcBorders>
              <w:top w:val="single" w:sz="12" w:space="0" w:color="EEEEEE"/>
            </w:tcBorders>
            <w:shd w:val="clear" w:color="auto" w:fill="F8FECB"/>
            <w:tcMar>
              <w:top w:w="201" w:type="dxa"/>
              <w:left w:w="50" w:type="dxa"/>
              <w:bottom w:w="201" w:type="dxa"/>
              <w:right w:w="50" w:type="dxa"/>
            </w:tcMar>
            <w:vAlign w:val="center"/>
          </w:tcPr>
          <w:p w:rsidR="006649DC" w:rsidRPr="002955FD" w:rsidRDefault="006649DC" w:rsidP="00DB5B57">
            <w:pPr>
              <w:ind w:left="67" w:right="67"/>
              <w:jc w:val="center"/>
              <w:rPr>
                <w:rFonts w:ascii="Bookman Old Style" w:hAnsi="Bookman Old Style" w:cs="Arial"/>
                <w:color w:val="000000"/>
                <w:sz w:val="22"/>
                <w:szCs w:val="22"/>
              </w:rPr>
            </w:pPr>
            <w:r w:rsidRPr="002955FD">
              <w:rPr>
                <w:rStyle w:val="Strong"/>
                <w:rFonts w:ascii="Bookman Old Style" w:hAnsi="Bookman Old Style" w:cs="Arial"/>
                <w:bCs/>
                <w:sz w:val="22"/>
                <w:szCs w:val="22"/>
              </w:rPr>
              <w:t>TABELLA DEI TASSI DI INTERESSE LEGALE</w:t>
            </w:r>
          </w:p>
        </w:tc>
      </w:tr>
      <w:tr w:rsidR="006649DC" w:rsidRPr="002955FD">
        <w:trPr>
          <w:tblCellSpacing w:w="15" w:type="dxa"/>
          <w:jc w:val="center"/>
        </w:trPr>
        <w:tc>
          <w:tcPr>
            <w:tcW w:w="0" w:type="auto"/>
            <w:tcBorders>
              <w:top w:val="single" w:sz="6" w:space="0" w:color="AAAAAA"/>
              <w:left w:val="single" w:sz="6" w:space="0" w:color="AAAAAA"/>
              <w:bottom w:val="single" w:sz="6" w:space="0" w:color="AAAAAA"/>
              <w:right w:val="single" w:sz="6" w:space="0" w:color="AAAAAA"/>
            </w:tcBorders>
            <w:shd w:val="clear" w:color="auto" w:fill="E4E4E4"/>
            <w:tcMar>
              <w:top w:w="50" w:type="dxa"/>
              <w:left w:w="50" w:type="dxa"/>
              <w:bottom w:w="50" w:type="dxa"/>
              <w:right w:w="50" w:type="dxa"/>
            </w:tcMar>
            <w:vAlign w:val="center"/>
          </w:tcPr>
          <w:p w:rsidR="006649DC" w:rsidRPr="002955FD" w:rsidRDefault="006649DC" w:rsidP="00DB5B57">
            <w:pPr>
              <w:ind w:left="67" w:right="67"/>
              <w:jc w:val="center"/>
              <w:rPr>
                <w:rFonts w:ascii="Bookman Old Style" w:hAnsi="Bookman Old Style" w:cs="Arial"/>
                <w:b/>
                <w:bCs/>
                <w:color w:val="000000"/>
                <w:sz w:val="22"/>
                <w:szCs w:val="22"/>
              </w:rPr>
            </w:pPr>
            <w:r w:rsidRPr="002955FD">
              <w:rPr>
                <w:rFonts w:ascii="Bookman Old Style" w:hAnsi="Bookman Old Style" w:cs="Arial"/>
                <w:b/>
                <w:bCs/>
                <w:color w:val="000000"/>
                <w:sz w:val="22"/>
                <w:szCs w:val="22"/>
              </w:rPr>
              <w:t>Dal</w:t>
            </w:r>
          </w:p>
        </w:tc>
        <w:tc>
          <w:tcPr>
            <w:tcW w:w="0" w:type="auto"/>
            <w:tcBorders>
              <w:top w:val="single" w:sz="6" w:space="0" w:color="AAAAAA"/>
              <w:left w:val="single" w:sz="6" w:space="0" w:color="AAAAAA"/>
              <w:bottom w:val="single" w:sz="6" w:space="0" w:color="AAAAAA"/>
              <w:right w:val="single" w:sz="6" w:space="0" w:color="AAAAAA"/>
            </w:tcBorders>
            <w:shd w:val="clear" w:color="auto" w:fill="E4E4E4"/>
            <w:tcMar>
              <w:top w:w="50" w:type="dxa"/>
              <w:left w:w="50" w:type="dxa"/>
              <w:bottom w:w="50" w:type="dxa"/>
              <w:right w:w="50" w:type="dxa"/>
            </w:tcMar>
            <w:vAlign w:val="center"/>
          </w:tcPr>
          <w:p w:rsidR="006649DC" w:rsidRPr="002955FD" w:rsidRDefault="006649DC" w:rsidP="00DB5B57">
            <w:pPr>
              <w:ind w:left="67" w:right="67"/>
              <w:jc w:val="center"/>
              <w:rPr>
                <w:rFonts w:ascii="Bookman Old Style" w:hAnsi="Bookman Old Style" w:cs="Arial"/>
                <w:b/>
                <w:bCs/>
                <w:color w:val="000000"/>
                <w:sz w:val="22"/>
                <w:szCs w:val="22"/>
              </w:rPr>
            </w:pPr>
            <w:r w:rsidRPr="002955FD">
              <w:rPr>
                <w:rFonts w:ascii="Bookman Old Style" w:hAnsi="Bookman Old Style" w:cs="Arial"/>
                <w:b/>
                <w:bCs/>
                <w:color w:val="000000"/>
                <w:sz w:val="22"/>
                <w:szCs w:val="22"/>
              </w:rPr>
              <w:t>Al</w:t>
            </w:r>
          </w:p>
        </w:tc>
        <w:tc>
          <w:tcPr>
            <w:tcW w:w="0" w:type="auto"/>
            <w:tcBorders>
              <w:top w:val="single" w:sz="6" w:space="0" w:color="AAAAAA"/>
              <w:left w:val="single" w:sz="6" w:space="0" w:color="AAAAAA"/>
              <w:bottom w:val="single" w:sz="6" w:space="0" w:color="AAAAAA"/>
              <w:right w:val="single" w:sz="6" w:space="0" w:color="AAAAAA"/>
            </w:tcBorders>
            <w:shd w:val="clear" w:color="auto" w:fill="E4E4E4"/>
            <w:tcMar>
              <w:top w:w="50" w:type="dxa"/>
              <w:left w:w="50" w:type="dxa"/>
              <w:bottom w:w="50" w:type="dxa"/>
              <w:right w:w="50" w:type="dxa"/>
            </w:tcMar>
            <w:vAlign w:val="center"/>
          </w:tcPr>
          <w:p w:rsidR="006649DC" w:rsidRPr="002955FD" w:rsidRDefault="006649DC" w:rsidP="00DB5B57">
            <w:pPr>
              <w:ind w:left="67" w:right="67"/>
              <w:jc w:val="center"/>
              <w:rPr>
                <w:rFonts w:ascii="Bookman Old Style" w:hAnsi="Bookman Old Style" w:cs="Arial"/>
                <w:b/>
                <w:bCs/>
                <w:color w:val="000000"/>
                <w:sz w:val="22"/>
                <w:szCs w:val="22"/>
              </w:rPr>
            </w:pPr>
            <w:r w:rsidRPr="002955FD">
              <w:rPr>
                <w:rFonts w:ascii="Bookman Old Style" w:hAnsi="Bookman Old Style" w:cs="Arial"/>
                <w:b/>
                <w:bCs/>
                <w:color w:val="000000"/>
                <w:sz w:val="22"/>
                <w:szCs w:val="22"/>
              </w:rPr>
              <w:t>Saggio</w:t>
            </w:r>
          </w:p>
        </w:tc>
        <w:tc>
          <w:tcPr>
            <w:tcW w:w="0" w:type="auto"/>
            <w:tcBorders>
              <w:top w:val="single" w:sz="6" w:space="0" w:color="AAAAAA"/>
              <w:left w:val="single" w:sz="6" w:space="0" w:color="AAAAAA"/>
              <w:bottom w:val="single" w:sz="6" w:space="0" w:color="AAAAAA"/>
              <w:right w:val="single" w:sz="6" w:space="0" w:color="AAAAAA"/>
            </w:tcBorders>
            <w:shd w:val="clear" w:color="auto" w:fill="E4E4E4"/>
            <w:tcMar>
              <w:top w:w="50" w:type="dxa"/>
              <w:left w:w="50" w:type="dxa"/>
              <w:bottom w:w="50" w:type="dxa"/>
              <w:right w:w="50" w:type="dxa"/>
            </w:tcMar>
            <w:vAlign w:val="center"/>
          </w:tcPr>
          <w:p w:rsidR="006649DC" w:rsidRPr="002955FD" w:rsidRDefault="006649DC" w:rsidP="00DB5B57">
            <w:pPr>
              <w:ind w:left="67" w:right="67"/>
              <w:jc w:val="center"/>
              <w:rPr>
                <w:rFonts w:ascii="Bookman Old Style" w:hAnsi="Bookman Old Style" w:cs="Arial"/>
                <w:b/>
                <w:bCs/>
                <w:color w:val="000000"/>
                <w:sz w:val="22"/>
                <w:szCs w:val="22"/>
              </w:rPr>
            </w:pPr>
            <w:r w:rsidRPr="002955FD">
              <w:rPr>
                <w:rFonts w:ascii="Bookman Old Style" w:hAnsi="Bookman Old Style" w:cs="Arial"/>
                <w:b/>
                <w:bCs/>
                <w:color w:val="000000"/>
                <w:sz w:val="22"/>
                <w:szCs w:val="22"/>
              </w:rPr>
              <w:t>Norma</w:t>
            </w:r>
          </w:p>
        </w:tc>
      </w:tr>
      <w:tr w:rsidR="006649DC" w:rsidRPr="002955FD">
        <w:trPr>
          <w:tblCellSpacing w:w="15" w:type="dxa"/>
          <w:jc w:val="center"/>
        </w:trPr>
        <w:tc>
          <w:tcPr>
            <w:tcW w:w="0" w:type="auto"/>
            <w:tcBorders>
              <w:top w:val="single" w:sz="6" w:space="0" w:color="AAAAAA"/>
              <w:left w:val="single" w:sz="6" w:space="0" w:color="DDDDDD"/>
              <w:bottom w:val="single" w:sz="6" w:space="0" w:color="777777"/>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21/04/1942</w:t>
            </w:r>
          </w:p>
        </w:tc>
        <w:tc>
          <w:tcPr>
            <w:tcW w:w="0" w:type="auto"/>
            <w:tcBorders>
              <w:top w:val="single" w:sz="6" w:space="0" w:color="AAAAAA"/>
              <w:left w:val="single" w:sz="6" w:space="0" w:color="DDDDDD"/>
              <w:bottom w:val="single" w:sz="6" w:space="0" w:color="777777"/>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15/12/1990</w:t>
            </w:r>
          </w:p>
        </w:tc>
        <w:tc>
          <w:tcPr>
            <w:tcW w:w="0" w:type="auto"/>
            <w:tcBorders>
              <w:top w:val="single" w:sz="6" w:space="0" w:color="AAAAAA"/>
              <w:left w:val="single" w:sz="6" w:space="0" w:color="DDDDDD"/>
              <w:bottom w:val="single" w:sz="6" w:space="0" w:color="777777"/>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right"/>
              <w:rPr>
                <w:rFonts w:ascii="Bookman Old Style" w:hAnsi="Bookman Old Style" w:cs="Arial"/>
                <w:color w:val="000000"/>
                <w:sz w:val="22"/>
                <w:szCs w:val="22"/>
              </w:rPr>
            </w:pPr>
            <w:r w:rsidRPr="002955FD">
              <w:rPr>
                <w:rFonts w:ascii="Bookman Old Style" w:hAnsi="Bookman Old Style" w:cs="Arial"/>
                <w:color w:val="000000"/>
                <w:sz w:val="22"/>
                <w:szCs w:val="22"/>
              </w:rPr>
              <w:t>5,00%</w:t>
            </w:r>
          </w:p>
        </w:tc>
        <w:tc>
          <w:tcPr>
            <w:tcW w:w="0" w:type="auto"/>
            <w:tcBorders>
              <w:top w:val="single" w:sz="6" w:space="0" w:color="AAAAAA"/>
              <w:left w:val="single" w:sz="6" w:space="0" w:color="DDDDDD"/>
              <w:bottom w:val="single" w:sz="6" w:space="0" w:color="777777"/>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Art. 1284 cod.civ.</w:t>
            </w:r>
          </w:p>
        </w:tc>
      </w:tr>
      <w:tr w:rsidR="006649DC" w:rsidRPr="002955FD">
        <w:trPr>
          <w:tblCellSpacing w:w="15" w:type="dxa"/>
          <w:jc w:val="center"/>
        </w:trPr>
        <w:tc>
          <w:tcPr>
            <w:tcW w:w="0" w:type="auto"/>
            <w:tcBorders>
              <w:top w:val="single" w:sz="6" w:space="0" w:color="EEEEEE"/>
              <w:left w:val="single" w:sz="6" w:space="0" w:color="DDDDDD"/>
              <w:bottom w:val="single" w:sz="6" w:space="0" w:color="777777"/>
              <w:right w:val="single" w:sz="6" w:space="0" w:color="AAAAAA"/>
            </w:tcBorders>
            <w:shd w:val="clear" w:color="auto" w:fill="FFFFFF"/>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16/12/1990</w:t>
            </w:r>
          </w:p>
        </w:tc>
        <w:tc>
          <w:tcPr>
            <w:tcW w:w="0" w:type="auto"/>
            <w:tcBorders>
              <w:top w:val="single" w:sz="6" w:space="0" w:color="EEEEEE"/>
              <w:left w:val="single" w:sz="6" w:space="0" w:color="DDDDDD"/>
              <w:bottom w:val="single" w:sz="6" w:space="0" w:color="777777"/>
              <w:right w:val="single" w:sz="6" w:space="0" w:color="AAAAAA"/>
            </w:tcBorders>
            <w:shd w:val="clear" w:color="auto" w:fill="FFFFFF"/>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31/12/1996</w:t>
            </w:r>
          </w:p>
        </w:tc>
        <w:tc>
          <w:tcPr>
            <w:tcW w:w="0" w:type="auto"/>
            <w:tcBorders>
              <w:top w:val="single" w:sz="6" w:space="0" w:color="EEEEEE"/>
              <w:left w:val="single" w:sz="6" w:space="0" w:color="DDDDDD"/>
              <w:bottom w:val="single" w:sz="6" w:space="0" w:color="777777"/>
              <w:right w:val="single" w:sz="6" w:space="0" w:color="AAAAAA"/>
            </w:tcBorders>
            <w:shd w:val="clear" w:color="auto" w:fill="FFFFFF"/>
            <w:tcMar>
              <w:top w:w="50" w:type="dxa"/>
              <w:left w:w="50" w:type="dxa"/>
              <w:bottom w:w="50" w:type="dxa"/>
              <w:right w:w="50" w:type="dxa"/>
            </w:tcMar>
            <w:vAlign w:val="center"/>
          </w:tcPr>
          <w:p w:rsidR="006649DC" w:rsidRPr="002955FD" w:rsidRDefault="006649DC" w:rsidP="00DB5B57">
            <w:pPr>
              <w:ind w:left="67" w:right="67"/>
              <w:jc w:val="right"/>
              <w:rPr>
                <w:rFonts w:ascii="Bookman Old Style" w:hAnsi="Bookman Old Style" w:cs="Arial"/>
                <w:color w:val="000000"/>
                <w:sz w:val="22"/>
                <w:szCs w:val="22"/>
              </w:rPr>
            </w:pPr>
            <w:r w:rsidRPr="002955FD">
              <w:rPr>
                <w:rFonts w:ascii="Bookman Old Style" w:hAnsi="Bookman Old Style" w:cs="Arial"/>
                <w:color w:val="000000"/>
                <w:sz w:val="22"/>
                <w:szCs w:val="22"/>
              </w:rPr>
              <w:t>10,00%</w:t>
            </w:r>
          </w:p>
        </w:tc>
        <w:tc>
          <w:tcPr>
            <w:tcW w:w="0" w:type="auto"/>
            <w:tcBorders>
              <w:top w:val="single" w:sz="6" w:space="0" w:color="EEEEEE"/>
              <w:left w:val="single" w:sz="6" w:space="0" w:color="DDDDDD"/>
              <w:bottom w:val="single" w:sz="6" w:space="0" w:color="777777"/>
              <w:right w:val="single" w:sz="6" w:space="0" w:color="AAAAAA"/>
            </w:tcBorders>
            <w:shd w:val="clear" w:color="auto" w:fill="FFFFFF"/>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L. 353/90 e L.408/90</w:t>
            </w:r>
          </w:p>
        </w:tc>
      </w:tr>
      <w:tr w:rsidR="006649DC" w:rsidRPr="002955FD">
        <w:trPr>
          <w:tblCellSpacing w:w="15" w:type="dxa"/>
          <w:jc w:val="center"/>
        </w:trPr>
        <w:tc>
          <w:tcPr>
            <w:tcW w:w="0" w:type="auto"/>
            <w:tcBorders>
              <w:top w:val="single" w:sz="6" w:space="0" w:color="EEEEEE"/>
              <w:left w:val="single" w:sz="6" w:space="0" w:color="DDDDDD"/>
              <w:bottom w:val="single" w:sz="6" w:space="0" w:color="777777"/>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01/01/1997</w:t>
            </w:r>
          </w:p>
        </w:tc>
        <w:tc>
          <w:tcPr>
            <w:tcW w:w="0" w:type="auto"/>
            <w:tcBorders>
              <w:top w:val="single" w:sz="6" w:space="0" w:color="EEEEEE"/>
              <w:left w:val="single" w:sz="6" w:space="0" w:color="DDDDDD"/>
              <w:bottom w:val="single" w:sz="6" w:space="0" w:color="777777"/>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31/12/1998</w:t>
            </w:r>
          </w:p>
        </w:tc>
        <w:tc>
          <w:tcPr>
            <w:tcW w:w="0" w:type="auto"/>
            <w:tcBorders>
              <w:top w:val="single" w:sz="6" w:space="0" w:color="EEEEEE"/>
              <w:left w:val="single" w:sz="6" w:space="0" w:color="DDDDDD"/>
              <w:bottom w:val="single" w:sz="6" w:space="0" w:color="777777"/>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right"/>
              <w:rPr>
                <w:rFonts w:ascii="Bookman Old Style" w:hAnsi="Bookman Old Style" w:cs="Arial"/>
                <w:color w:val="000000"/>
                <w:sz w:val="22"/>
                <w:szCs w:val="22"/>
              </w:rPr>
            </w:pPr>
            <w:r w:rsidRPr="002955FD">
              <w:rPr>
                <w:rFonts w:ascii="Bookman Old Style" w:hAnsi="Bookman Old Style" w:cs="Arial"/>
                <w:color w:val="000000"/>
                <w:sz w:val="22"/>
                <w:szCs w:val="22"/>
              </w:rPr>
              <w:t>5,00%</w:t>
            </w:r>
          </w:p>
        </w:tc>
        <w:tc>
          <w:tcPr>
            <w:tcW w:w="0" w:type="auto"/>
            <w:tcBorders>
              <w:top w:val="single" w:sz="6" w:space="0" w:color="EEEEEE"/>
              <w:left w:val="single" w:sz="6" w:space="0" w:color="DDDDDD"/>
              <w:bottom w:val="single" w:sz="6" w:space="0" w:color="777777"/>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L. 662/96</w:t>
            </w:r>
          </w:p>
        </w:tc>
      </w:tr>
      <w:tr w:rsidR="006649DC" w:rsidRPr="002955FD">
        <w:trPr>
          <w:tblCellSpacing w:w="15" w:type="dxa"/>
          <w:jc w:val="center"/>
        </w:trPr>
        <w:tc>
          <w:tcPr>
            <w:tcW w:w="0" w:type="auto"/>
            <w:tcBorders>
              <w:top w:val="single" w:sz="6" w:space="0" w:color="EEEEEE"/>
              <w:left w:val="single" w:sz="6" w:space="0" w:color="DDDDDD"/>
              <w:bottom w:val="single" w:sz="6" w:space="0" w:color="777777"/>
              <w:right w:val="single" w:sz="6" w:space="0" w:color="AAAAAA"/>
            </w:tcBorders>
            <w:shd w:val="clear" w:color="auto" w:fill="FFFFFF"/>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01/01/1999</w:t>
            </w:r>
          </w:p>
        </w:tc>
        <w:tc>
          <w:tcPr>
            <w:tcW w:w="0" w:type="auto"/>
            <w:tcBorders>
              <w:top w:val="single" w:sz="6" w:space="0" w:color="EEEEEE"/>
              <w:left w:val="single" w:sz="6" w:space="0" w:color="DDDDDD"/>
              <w:bottom w:val="single" w:sz="6" w:space="0" w:color="777777"/>
              <w:right w:val="single" w:sz="6" w:space="0" w:color="AAAAAA"/>
            </w:tcBorders>
            <w:shd w:val="clear" w:color="auto" w:fill="FFFFFF"/>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31/12/2000</w:t>
            </w:r>
          </w:p>
        </w:tc>
        <w:tc>
          <w:tcPr>
            <w:tcW w:w="0" w:type="auto"/>
            <w:tcBorders>
              <w:top w:val="single" w:sz="6" w:space="0" w:color="EEEEEE"/>
              <w:left w:val="single" w:sz="6" w:space="0" w:color="DDDDDD"/>
              <w:bottom w:val="single" w:sz="6" w:space="0" w:color="777777"/>
              <w:right w:val="single" w:sz="6" w:space="0" w:color="AAAAAA"/>
            </w:tcBorders>
            <w:shd w:val="clear" w:color="auto" w:fill="FFFFFF"/>
            <w:tcMar>
              <w:top w:w="50" w:type="dxa"/>
              <w:left w:w="50" w:type="dxa"/>
              <w:bottom w:w="50" w:type="dxa"/>
              <w:right w:w="50" w:type="dxa"/>
            </w:tcMar>
            <w:vAlign w:val="center"/>
          </w:tcPr>
          <w:p w:rsidR="006649DC" w:rsidRPr="002955FD" w:rsidRDefault="006649DC" w:rsidP="00DB5B57">
            <w:pPr>
              <w:ind w:left="67" w:right="67"/>
              <w:jc w:val="right"/>
              <w:rPr>
                <w:rFonts w:ascii="Bookman Old Style" w:hAnsi="Bookman Old Style" w:cs="Arial"/>
                <w:color w:val="000000"/>
                <w:sz w:val="22"/>
                <w:szCs w:val="22"/>
              </w:rPr>
            </w:pPr>
            <w:r w:rsidRPr="002955FD">
              <w:rPr>
                <w:rFonts w:ascii="Bookman Old Style" w:hAnsi="Bookman Old Style" w:cs="Arial"/>
                <w:color w:val="000000"/>
                <w:sz w:val="22"/>
                <w:szCs w:val="22"/>
              </w:rPr>
              <w:t>2,50%</w:t>
            </w:r>
          </w:p>
        </w:tc>
        <w:tc>
          <w:tcPr>
            <w:tcW w:w="0" w:type="auto"/>
            <w:tcBorders>
              <w:top w:val="single" w:sz="6" w:space="0" w:color="EEEEEE"/>
              <w:left w:val="single" w:sz="6" w:space="0" w:color="DDDDDD"/>
              <w:bottom w:val="single" w:sz="6" w:space="0" w:color="777777"/>
              <w:right w:val="single" w:sz="6" w:space="0" w:color="AAAAAA"/>
            </w:tcBorders>
            <w:shd w:val="clear" w:color="auto" w:fill="FFFFFF"/>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Dm Tesoro 10/12/1998</w:t>
            </w:r>
          </w:p>
        </w:tc>
      </w:tr>
      <w:tr w:rsidR="006649DC" w:rsidRPr="002955FD">
        <w:trPr>
          <w:tblCellSpacing w:w="15" w:type="dxa"/>
          <w:jc w:val="center"/>
        </w:trPr>
        <w:tc>
          <w:tcPr>
            <w:tcW w:w="0" w:type="auto"/>
            <w:tcBorders>
              <w:top w:val="single" w:sz="6" w:space="0" w:color="EEEEEE"/>
              <w:left w:val="single" w:sz="6" w:space="0" w:color="DDDDDD"/>
              <w:bottom w:val="single" w:sz="6" w:space="0" w:color="777777"/>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01/01/2001</w:t>
            </w:r>
          </w:p>
        </w:tc>
        <w:tc>
          <w:tcPr>
            <w:tcW w:w="0" w:type="auto"/>
            <w:tcBorders>
              <w:top w:val="single" w:sz="6" w:space="0" w:color="EEEEEE"/>
              <w:left w:val="single" w:sz="6" w:space="0" w:color="DDDDDD"/>
              <w:bottom w:val="single" w:sz="6" w:space="0" w:color="777777"/>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31/12/2001</w:t>
            </w:r>
          </w:p>
        </w:tc>
        <w:tc>
          <w:tcPr>
            <w:tcW w:w="0" w:type="auto"/>
            <w:tcBorders>
              <w:top w:val="single" w:sz="6" w:space="0" w:color="EEEEEE"/>
              <w:left w:val="single" w:sz="6" w:space="0" w:color="DDDDDD"/>
              <w:bottom w:val="single" w:sz="6" w:space="0" w:color="777777"/>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right"/>
              <w:rPr>
                <w:rFonts w:ascii="Bookman Old Style" w:hAnsi="Bookman Old Style" w:cs="Arial"/>
                <w:color w:val="000000"/>
                <w:sz w:val="22"/>
                <w:szCs w:val="22"/>
              </w:rPr>
            </w:pPr>
            <w:r w:rsidRPr="002955FD">
              <w:rPr>
                <w:rFonts w:ascii="Bookman Old Style" w:hAnsi="Bookman Old Style" w:cs="Arial"/>
                <w:color w:val="000000"/>
                <w:sz w:val="22"/>
                <w:szCs w:val="22"/>
              </w:rPr>
              <w:t>3,50%</w:t>
            </w:r>
          </w:p>
        </w:tc>
        <w:tc>
          <w:tcPr>
            <w:tcW w:w="0" w:type="auto"/>
            <w:tcBorders>
              <w:top w:val="single" w:sz="6" w:space="0" w:color="EEEEEE"/>
              <w:left w:val="single" w:sz="6" w:space="0" w:color="DDDDDD"/>
              <w:bottom w:val="single" w:sz="6" w:space="0" w:color="777777"/>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Dm Tesoro 11/12/2000</w:t>
            </w:r>
          </w:p>
        </w:tc>
      </w:tr>
      <w:tr w:rsidR="006649DC" w:rsidRPr="002955FD">
        <w:trPr>
          <w:tblCellSpacing w:w="15" w:type="dxa"/>
          <w:jc w:val="center"/>
        </w:trPr>
        <w:tc>
          <w:tcPr>
            <w:tcW w:w="0" w:type="auto"/>
            <w:tcBorders>
              <w:top w:val="single" w:sz="6" w:space="0" w:color="EEEEEE"/>
              <w:left w:val="single" w:sz="6" w:space="0" w:color="DDDDDD"/>
              <w:bottom w:val="single" w:sz="6" w:space="0" w:color="777777"/>
              <w:right w:val="single" w:sz="6" w:space="0" w:color="AAAAAA"/>
            </w:tcBorders>
            <w:shd w:val="clear" w:color="auto" w:fill="FFFFFF"/>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01/01/2002</w:t>
            </w:r>
          </w:p>
        </w:tc>
        <w:tc>
          <w:tcPr>
            <w:tcW w:w="0" w:type="auto"/>
            <w:tcBorders>
              <w:top w:val="single" w:sz="6" w:space="0" w:color="EEEEEE"/>
              <w:left w:val="single" w:sz="6" w:space="0" w:color="DDDDDD"/>
              <w:bottom w:val="single" w:sz="6" w:space="0" w:color="777777"/>
              <w:right w:val="single" w:sz="6" w:space="0" w:color="AAAAAA"/>
            </w:tcBorders>
            <w:shd w:val="clear" w:color="auto" w:fill="FFFFFF"/>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31/12/2003</w:t>
            </w:r>
          </w:p>
        </w:tc>
        <w:tc>
          <w:tcPr>
            <w:tcW w:w="0" w:type="auto"/>
            <w:tcBorders>
              <w:top w:val="single" w:sz="6" w:space="0" w:color="EEEEEE"/>
              <w:left w:val="single" w:sz="6" w:space="0" w:color="DDDDDD"/>
              <w:bottom w:val="single" w:sz="6" w:space="0" w:color="777777"/>
              <w:right w:val="single" w:sz="6" w:space="0" w:color="AAAAAA"/>
            </w:tcBorders>
            <w:shd w:val="clear" w:color="auto" w:fill="FFFFFF"/>
            <w:tcMar>
              <w:top w:w="50" w:type="dxa"/>
              <w:left w:w="50" w:type="dxa"/>
              <w:bottom w:w="50" w:type="dxa"/>
              <w:right w:w="50" w:type="dxa"/>
            </w:tcMar>
            <w:vAlign w:val="center"/>
          </w:tcPr>
          <w:p w:rsidR="006649DC" w:rsidRPr="002955FD" w:rsidRDefault="006649DC" w:rsidP="00DB5B57">
            <w:pPr>
              <w:ind w:left="67" w:right="67"/>
              <w:jc w:val="right"/>
              <w:rPr>
                <w:rFonts w:ascii="Bookman Old Style" w:hAnsi="Bookman Old Style" w:cs="Arial"/>
                <w:color w:val="000000"/>
                <w:sz w:val="22"/>
                <w:szCs w:val="22"/>
              </w:rPr>
            </w:pPr>
            <w:r w:rsidRPr="002955FD">
              <w:rPr>
                <w:rFonts w:ascii="Bookman Old Style" w:hAnsi="Bookman Old Style" w:cs="Arial"/>
                <w:color w:val="000000"/>
                <w:sz w:val="22"/>
                <w:szCs w:val="22"/>
              </w:rPr>
              <w:t>3,00%</w:t>
            </w:r>
          </w:p>
        </w:tc>
        <w:tc>
          <w:tcPr>
            <w:tcW w:w="0" w:type="auto"/>
            <w:tcBorders>
              <w:top w:val="single" w:sz="6" w:space="0" w:color="EEEEEE"/>
              <w:left w:val="single" w:sz="6" w:space="0" w:color="DDDDDD"/>
              <w:bottom w:val="single" w:sz="6" w:space="0" w:color="777777"/>
              <w:right w:val="single" w:sz="6" w:space="0" w:color="AAAAAA"/>
            </w:tcBorders>
            <w:shd w:val="clear" w:color="auto" w:fill="FFFFFF"/>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Dm Economia 11/12/2001</w:t>
            </w:r>
          </w:p>
        </w:tc>
      </w:tr>
      <w:tr w:rsidR="006649DC" w:rsidRPr="002955FD">
        <w:trPr>
          <w:tblCellSpacing w:w="15" w:type="dxa"/>
          <w:jc w:val="center"/>
        </w:trPr>
        <w:tc>
          <w:tcPr>
            <w:tcW w:w="0" w:type="auto"/>
            <w:tcBorders>
              <w:top w:val="single" w:sz="6" w:space="0" w:color="EEEEEE"/>
              <w:left w:val="single" w:sz="6" w:space="0" w:color="DDDDDD"/>
              <w:bottom w:val="single" w:sz="6" w:space="0" w:color="777777"/>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01/01/2004</w:t>
            </w:r>
          </w:p>
        </w:tc>
        <w:tc>
          <w:tcPr>
            <w:tcW w:w="0" w:type="auto"/>
            <w:tcBorders>
              <w:top w:val="single" w:sz="6" w:space="0" w:color="EEEEEE"/>
              <w:left w:val="single" w:sz="6" w:space="0" w:color="DDDDDD"/>
              <w:bottom w:val="single" w:sz="6" w:space="0" w:color="777777"/>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31/12/2007</w:t>
            </w:r>
          </w:p>
        </w:tc>
        <w:tc>
          <w:tcPr>
            <w:tcW w:w="0" w:type="auto"/>
            <w:tcBorders>
              <w:top w:val="single" w:sz="6" w:space="0" w:color="EEEEEE"/>
              <w:left w:val="single" w:sz="6" w:space="0" w:color="DDDDDD"/>
              <w:bottom w:val="single" w:sz="6" w:space="0" w:color="777777"/>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right"/>
              <w:rPr>
                <w:rFonts w:ascii="Bookman Old Style" w:hAnsi="Bookman Old Style" w:cs="Arial"/>
                <w:color w:val="000000"/>
                <w:sz w:val="22"/>
                <w:szCs w:val="22"/>
              </w:rPr>
            </w:pPr>
            <w:r w:rsidRPr="002955FD">
              <w:rPr>
                <w:rFonts w:ascii="Bookman Old Style" w:hAnsi="Bookman Old Style" w:cs="Arial"/>
                <w:color w:val="000000"/>
                <w:sz w:val="22"/>
                <w:szCs w:val="22"/>
              </w:rPr>
              <w:t>2,50%</w:t>
            </w:r>
          </w:p>
        </w:tc>
        <w:tc>
          <w:tcPr>
            <w:tcW w:w="0" w:type="auto"/>
            <w:tcBorders>
              <w:top w:val="single" w:sz="6" w:space="0" w:color="EEEEEE"/>
              <w:left w:val="single" w:sz="6" w:space="0" w:color="DDDDDD"/>
              <w:bottom w:val="single" w:sz="6" w:space="0" w:color="777777"/>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Dm Economia 01/12/2003</w:t>
            </w:r>
          </w:p>
        </w:tc>
      </w:tr>
      <w:tr w:rsidR="006649DC" w:rsidRPr="002955FD">
        <w:trPr>
          <w:tblCellSpacing w:w="15" w:type="dxa"/>
          <w:jc w:val="center"/>
        </w:trPr>
        <w:tc>
          <w:tcPr>
            <w:tcW w:w="0" w:type="auto"/>
            <w:tcBorders>
              <w:top w:val="single" w:sz="6" w:space="0" w:color="EEEEEE"/>
              <w:left w:val="single" w:sz="6" w:space="0" w:color="DDDDDD"/>
              <w:bottom w:val="single" w:sz="6" w:space="0" w:color="777777"/>
              <w:right w:val="single" w:sz="6" w:space="0" w:color="AAAAAA"/>
            </w:tcBorders>
            <w:shd w:val="clear" w:color="auto" w:fill="FFFFFF"/>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01/01/2008</w:t>
            </w:r>
          </w:p>
        </w:tc>
        <w:tc>
          <w:tcPr>
            <w:tcW w:w="0" w:type="auto"/>
            <w:tcBorders>
              <w:top w:val="single" w:sz="6" w:space="0" w:color="EEEEEE"/>
              <w:left w:val="single" w:sz="6" w:space="0" w:color="DDDDDD"/>
              <w:bottom w:val="single" w:sz="6" w:space="0" w:color="777777"/>
              <w:right w:val="single" w:sz="6" w:space="0" w:color="AAAAAA"/>
            </w:tcBorders>
            <w:shd w:val="clear" w:color="auto" w:fill="FFFFFF"/>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31/12/2009</w:t>
            </w:r>
          </w:p>
        </w:tc>
        <w:tc>
          <w:tcPr>
            <w:tcW w:w="0" w:type="auto"/>
            <w:tcBorders>
              <w:top w:val="single" w:sz="6" w:space="0" w:color="EEEEEE"/>
              <w:left w:val="single" w:sz="6" w:space="0" w:color="DDDDDD"/>
              <w:bottom w:val="single" w:sz="6" w:space="0" w:color="777777"/>
              <w:right w:val="single" w:sz="6" w:space="0" w:color="AAAAAA"/>
            </w:tcBorders>
            <w:shd w:val="clear" w:color="auto" w:fill="FFFFFF"/>
            <w:tcMar>
              <w:top w:w="50" w:type="dxa"/>
              <w:left w:w="50" w:type="dxa"/>
              <w:bottom w:w="50" w:type="dxa"/>
              <w:right w:w="50" w:type="dxa"/>
            </w:tcMar>
            <w:vAlign w:val="center"/>
          </w:tcPr>
          <w:p w:rsidR="006649DC" w:rsidRPr="002955FD" w:rsidRDefault="006649DC" w:rsidP="00DB5B57">
            <w:pPr>
              <w:ind w:left="67" w:right="67"/>
              <w:jc w:val="right"/>
              <w:rPr>
                <w:rFonts w:ascii="Bookman Old Style" w:hAnsi="Bookman Old Style" w:cs="Arial"/>
                <w:color w:val="000000"/>
                <w:sz w:val="22"/>
                <w:szCs w:val="22"/>
              </w:rPr>
            </w:pPr>
            <w:r w:rsidRPr="002955FD">
              <w:rPr>
                <w:rFonts w:ascii="Bookman Old Style" w:hAnsi="Bookman Old Style" w:cs="Arial"/>
                <w:color w:val="000000"/>
                <w:sz w:val="22"/>
                <w:szCs w:val="22"/>
              </w:rPr>
              <w:t>3,00%</w:t>
            </w:r>
          </w:p>
        </w:tc>
        <w:tc>
          <w:tcPr>
            <w:tcW w:w="0" w:type="auto"/>
            <w:tcBorders>
              <w:top w:val="single" w:sz="6" w:space="0" w:color="EEEEEE"/>
              <w:left w:val="single" w:sz="6" w:space="0" w:color="DDDDDD"/>
              <w:bottom w:val="single" w:sz="6" w:space="0" w:color="777777"/>
              <w:right w:val="single" w:sz="6" w:space="0" w:color="AAAAAA"/>
            </w:tcBorders>
            <w:shd w:val="clear" w:color="auto" w:fill="FFFFFF"/>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Dm Economia 12/12/2007</w:t>
            </w:r>
          </w:p>
        </w:tc>
      </w:tr>
      <w:tr w:rsidR="006649DC" w:rsidRPr="002955FD" w:rsidTr="007A6AD9">
        <w:trPr>
          <w:tblCellSpacing w:w="15" w:type="dxa"/>
          <w:jc w:val="center"/>
        </w:trPr>
        <w:tc>
          <w:tcPr>
            <w:tcW w:w="0" w:type="auto"/>
            <w:tcBorders>
              <w:top w:val="single" w:sz="6" w:space="0" w:color="777777"/>
              <w:left w:val="nil"/>
              <w:bottom w:val="single" w:sz="6" w:space="0" w:color="DDDDDD"/>
              <w:right w:val="nil"/>
            </w:tcBorders>
            <w:shd w:val="clear" w:color="auto" w:fill="FFFBDC"/>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01/01/2010</w:t>
            </w:r>
          </w:p>
        </w:tc>
        <w:tc>
          <w:tcPr>
            <w:tcW w:w="0" w:type="auto"/>
            <w:tcBorders>
              <w:top w:val="single" w:sz="6" w:space="0" w:color="777777"/>
              <w:left w:val="single" w:sz="6" w:space="0" w:color="DDDDDD"/>
              <w:bottom w:val="single" w:sz="6" w:space="0" w:color="DDDDDD"/>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31/12/2010</w:t>
            </w:r>
          </w:p>
        </w:tc>
        <w:tc>
          <w:tcPr>
            <w:tcW w:w="0" w:type="auto"/>
            <w:tcBorders>
              <w:top w:val="single" w:sz="6" w:space="0" w:color="777777"/>
              <w:left w:val="single" w:sz="6" w:space="0" w:color="DDDDDD"/>
              <w:bottom w:val="single" w:sz="6" w:space="0" w:color="DDDDDD"/>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right"/>
              <w:rPr>
                <w:rFonts w:ascii="Bookman Old Style" w:hAnsi="Bookman Old Style" w:cs="Arial"/>
                <w:color w:val="000000"/>
                <w:sz w:val="22"/>
                <w:szCs w:val="22"/>
              </w:rPr>
            </w:pPr>
            <w:r w:rsidRPr="002955FD">
              <w:rPr>
                <w:rFonts w:ascii="Bookman Old Style" w:hAnsi="Bookman Old Style" w:cs="Arial"/>
                <w:color w:val="000000"/>
                <w:sz w:val="22"/>
                <w:szCs w:val="22"/>
              </w:rPr>
              <w:t>1,00%</w:t>
            </w:r>
          </w:p>
        </w:tc>
        <w:tc>
          <w:tcPr>
            <w:tcW w:w="0" w:type="auto"/>
            <w:tcBorders>
              <w:top w:val="single" w:sz="6" w:space="0" w:color="777777"/>
              <w:left w:val="single" w:sz="6" w:space="0" w:color="DDDDDD"/>
              <w:bottom w:val="single" w:sz="6" w:space="0" w:color="DDDDDD"/>
              <w:right w:val="single" w:sz="6" w:space="0" w:color="DDDDDD"/>
            </w:tcBorders>
            <w:shd w:val="clear" w:color="auto" w:fill="FFFBDC"/>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Dm Economia 04/12/2009 (*)</w:t>
            </w:r>
          </w:p>
        </w:tc>
      </w:tr>
      <w:tr w:rsidR="006649DC" w:rsidRPr="002955FD" w:rsidTr="007A6AD9">
        <w:trPr>
          <w:tblCellSpacing w:w="15" w:type="dxa"/>
          <w:jc w:val="center"/>
        </w:trPr>
        <w:tc>
          <w:tcPr>
            <w:tcW w:w="0" w:type="auto"/>
            <w:tcBorders>
              <w:top w:val="single" w:sz="8" w:space="0" w:color="DDDDDD"/>
              <w:left w:val="single" w:sz="6" w:space="0" w:color="DDDDDD"/>
              <w:bottom w:val="single" w:sz="4" w:space="0" w:color="auto"/>
              <w:right w:val="single" w:sz="6" w:space="0" w:color="AAAAAA"/>
            </w:tcBorders>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01/01/2011</w:t>
            </w:r>
          </w:p>
        </w:tc>
        <w:tc>
          <w:tcPr>
            <w:tcW w:w="0" w:type="auto"/>
            <w:tcBorders>
              <w:top w:val="single" w:sz="8" w:space="0" w:color="DDDDDD"/>
              <w:left w:val="single" w:sz="6" w:space="0" w:color="DDDDDD"/>
              <w:bottom w:val="single" w:sz="4" w:space="0" w:color="auto"/>
              <w:right w:val="single" w:sz="6" w:space="0" w:color="AAAAAA"/>
            </w:tcBorders>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31/12/2011</w:t>
            </w:r>
          </w:p>
        </w:tc>
        <w:tc>
          <w:tcPr>
            <w:tcW w:w="0" w:type="auto"/>
            <w:tcBorders>
              <w:top w:val="single" w:sz="8" w:space="0" w:color="DDDDDD"/>
              <w:left w:val="single" w:sz="6" w:space="0" w:color="DDDDDD"/>
              <w:bottom w:val="single" w:sz="4" w:space="0" w:color="auto"/>
              <w:right w:val="single" w:sz="6" w:space="0" w:color="AAAAAA"/>
            </w:tcBorders>
            <w:tcMar>
              <w:top w:w="50" w:type="dxa"/>
              <w:left w:w="50" w:type="dxa"/>
              <w:bottom w:w="50" w:type="dxa"/>
              <w:right w:w="50" w:type="dxa"/>
            </w:tcMar>
            <w:vAlign w:val="center"/>
          </w:tcPr>
          <w:p w:rsidR="006649DC" w:rsidRPr="002955FD" w:rsidRDefault="006649DC" w:rsidP="00DB5B57">
            <w:pPr>
              <w:ind w:left="67" w:right="67"/>
              <w:jc w:val="right"/>
              <w:rPr>
                <w:rFonts w:ascii="Bookman Old Style" w:hAnsi="Bookman Old Style" w:cs="Arial"/>
                <w:color w:val="000000"/>
                <w:sz w:val="22"/>
                <w:szCs w:val="22"/>
              </w:rPr>
            </w:pPr>
            <w:r w:rsidRPr="002955FD">
              <w:rPr>
                <w:rFonts w:ascii="Bookman Old Style" w:hAnsi="Bookman Old Style" w:cs="Arial"/>
                <w:color w:val="000000"/>
                <w:sz w:val="22"/>
                <w:szCs w:val="22"/>
              </w:rPr>
              <w:t>1,50%</w:t>
            </w:r>
          </w:p>
        </w:tc>
        <w:tc>
          <w:tcPr>
            <w:tcW w:w="0" w:type="auto"/>
            <w:tcBorders>
              <w:top w:val="single" w:sz="8" w:space="0" w:color="DDDDDD"/>
              <w:left w:val="single" w:sz="6" w:space="0" w:color="DDDDDD"/>
              <w:bottom w:val="single" w:sz="4" w:space="0" w:color="auto"/>
              <w:right w:val="single" w:sz="6" w:space="0" w:color="DDDDDD"/>
            </w:tcBorders>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Dm Economia 07/12/2010 (**)</w:t>
            </w:r>
          </w:p>
        </w:tc>
      </w:tr>
      <w:tr w:rsidR="006649DC" w:rsidRPr="002955FD" w:rsidTr="009F1D32">
        <w:trPr>
          <w:tblCellSpacing w:w="15" w:type="dxa"/>
          <w:jc w:val="center"/>
        </w:trPr>
        <w:tc>
          <w:tcPr>
            <w:tcW w:w="0" w:type="auto"/>
            <w:tcBorders>
              <w:top w:val="single" w:sz="6" w:space="0" w:color="DDDDDD"/>
              <w:left w:val="single" w:sz="6" w:space="0" w:color="DDDDDD"/>
              <w:bottom w:val="single" w:sz="6" w:space="0" w:color="DDDDDD"/>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01/01/2012</w:t>
            </w:r>
          </w:p>
        </w:tc>
        <w:tc>
          <w:tcPr>
            <w:tcW w:w="0" w:type="auto"/>
            <w:tcBorders>
              <w:top w:val="single" w:sz="6" w:space="0" w:color="DDDDDD"/>
              <w:left w:val="single" w:sz="6" w:space="0" w:color="DDDDDD"/>
              <w:bottom w:val="single" w:sz="6" w:space="0" w:color="DDDDDD"/>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31/12/2013</w:t>
            </w:r>
          </w:p>
        </w:tc>
        <w:tc>
          <w:tcPr>
            <w:tcW w:w="0" w:type="auto"/>
            <w:tcBorders>
              <w:top w:val="single" w:sz="6" w:space="0" w:color="DDDDDD"/>
              <w:left w:val="single" w:sz="6" w:space="0" w:color="DDDDDD"/>
              <w:bottom w:val="single" w:sz="6" w:space="0" w:color="DDDDDD"/>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right"/>
              <w:rPr>
                <w:rFonts w:ascii="Bookman Old Style" w:hAnsi="Bookman Old Style" w:cs="Arial"/>
                <w:color w:val="000000"/>
                <w:sz w:val="22"/>
                <w:szCs w:val="22"/>
              </w:rPr>
            </w:pPr>
            <w:r w:rsidRPr="002955FD">
              <w:rPr>
                <w:rFonts w:ascii="Bookman Old Style" w:hAnsi="Bookman Old Style" w:cs="Arial"/>
                <w:color w:val="000000"/>
                <w:sz w:val="22"/>
                <w:szCs w:val="22"/>
              </w:rPr>
              <w:t>2,50%</w:t>
            </w:r>
          </w:p>
        </w:tc>
        <w:tc>
          <w:tcPr>
            <w:tcW w:w="0" w:type="auto"/>
            <w:tcBorders>
              <w:top w:val="single" w:sz="6" w:space="0" w:color="DDDDDD"/>
              <w:left w:val="single" w:sz="6" w:space="0" w:color="DDDDDD"/>
              <w:bottom w:val="single" w:sz="6" w:space="0" w:color="DDDDDD"/>
              <w:right w:val="single" w:sz="6" w:space="0" w:color="DDDDDD"/>
            </w:tcBorders>
            <w:shd w:val="clear" w:color="auto" w:fill="FFFBDC"/>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Dm Economia 12/12/2011 (***)</w:t>
            </w:r>
          </w:p>
        </w:tc>
      </w:tr>
      <w:tr w:rsidR="006649DC" w:rsidRPr="002955FD" w:rsidTr="00D05C99">
        <w:trPr>
          <w:tblCellSpacing w:w="15" w:type="dxa"/>
          <w:jc w:val="center"/>
        </w:trPr>
        <w:tc>
          <w:tcPr>
            <w:tcW w:w="0" w:type="auto"/>
            <w:tcBorders>
              <w:top w:val="single" w:sz="8" w:space="0" w:color="DDDDDD"/>
              <w:left w:val="single" w:sz="6" w:space="0" w:color="DDDDDD"/>
              <w:bottom w:val="single" w:sz="8" w:space="0" w:color="DDDDDD"/>
              <w:right w:val="single" w:sz="6" w:space="0" w:color="AAAAAA"/>
            </w:tcBorders>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01/01/2014</w:t>
            </w:r>
          </w:p>
        </w:tc>
        <w:tc>
          <w:tcPr>
            <w:tcW w:w="0" w:type="auto"/>
            <w:tcBorders>
              <w:top w:val="single" w:sz="8" w:space="0" w:color="DDDDDD"/>
              <w:left w:val="single" w:sz="6" w:space="0" w:color="DDDDDD"/>
              <w:bottom w:val="single" w:sz="8" w:space="0" w:color="DDDDDD"/>
              <w:right w:val="single" w:sz="6" w:space="0" w:color="AAAAAA"/>
            </w:tcBorders>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31/12/2014</w:t>
            </w:r>
          </w:p>
        </w:tc>
        <w:tc>
          <w:tcPr>
            <w:tcW w:w="0" w:type="auto"/>
            <w:tcBorders>
              <w:top w:val="single" w:sz="8" w:space="0" w:color="DDDDDD"/>
              <w:left w:val="single" w:sz="6" w:space="0" w:color="DDDDDD"/>
              <w:bottom w:val="single" w:sz="8" w:space="0" w:color="DDDDDD"/>
              <w:right w:val="single" w:sz="6" w:space="0" w:color="AAAAAA"/>
            </w:tcBorders>
            <w:tcMar>
              <w:top w:w="50" w:type="dxa"/>
              <w:left w:w="50" w:type="dxa"/>
              <w:bottom w:w="50" w:type="dxa"/>
              <w:right w:w="50" w:type="dxa"/>
            </w:tcMar>
            <w:vAlign w:val="center"/>
          </w:tcPr>
          <w:p w:rsidR="006649DC" w:rsidRPr="002955FD" w:rsidRDefault="006649DC" w:rsidP="00DB5B57">
            <w:pPr>
              <w:ind w:left="67" w:right="67"/>
              <w:jc w:val="right"/>
              <w:rPr>
                <w:rFonts w:ascii="Bookman Old Style" w:hAnsi="Bookman Old Style" w:cs="Arial"/>
                <w:color w:val="000000"/>
                <w:sz w:val="22"/>
                <w:szCs w:val="22"/>
              </w:rPr>
            </w:pPr>
            <w:r w:rsidRPr="002955FD">
              <w:rPr>
                <w:rFonts w:ascii="Bookman Old Style" w:hAnsi="Bookman Old Style" w:cs="Arial"/>
                <w:color w:val="000000"/>
                <w:sz w:val="22"/>
                <w:szCs w:val="22"/>
              </w:rPr>
              <w:t>1,00%</w:t>
            </w:r>
          </w:p>
        </w:tc>
        <w:tc>
          <w:tcPr>
            <w:tcW w:w="0" w:type="auto"/>
            <w:tcBorders>
              <w:top w:val="single" w:sz="8" w:space="0" w:color="DDDDDD"/>
              <w:left w:val="single" w:sz="6" w:space="0" w:color="DDDDDD"/>
              <w:bottom w:val="single" w:sz="8" w:space="0" w:color="DDDDDD"/>
              <w:right w:val="single" w:sz="6" w:space="0" w:color="DDDDDD"/>
            </w:tcBorders>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Dm Economia 12/12/2013 (****)</w:t>
            </w:r>
          </w:p>
        </w:tc>
      </w:tr>
      <w:tr w:rsidR="006649DC" w:rsidRPr="002955FD" w:rsidTr="00A86310">
        <w:trPr>
          <w:tblCellSpacing w:w="15" w:type="dxa"/>
          <w:jc w:val="center"/>
        </w:trPr>
        <w:tc>
          <w:tcPr>
            <w:tcW w:w="0" w:type="auto"/>
            <w:tcBorders>
              <w:top w:val="single" w:sz="6" w:space="0" w:color="DDDDDD"/>
              <w:left w:val="single" w:sz="6" w:space="0" w:color="DDDDDD"/>
              <w:bottom w:val="single" w:sz="6" w:space="0" w:color="DDDDDD"/>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01/01/2015</w:t>
            </w:r>
          </w:p>
        </w:tc>
        <w:tc>
          <w:tcPr>
            <w:tcW w:w="0" w:type="auto"/>
            <w:tcBorders>
              <w:top w:val="single" w:sz="6" w:space="0" w:color="DDDDDD"/>
              <w:left w:val="single" w:sz="6" w:space="0" w:color="DDDDDD"/>
              <w:bottom w:val="single" w:sz="6" w:space="0" w:color="DDDDDD"/>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31/12/2015</w:t>
            </w:r>
          </w:p>
        </w:tc>
        <w:tc>
          <w:tcPr>
            <w:tcW w:w="0" w:type="auto"/>
            <w:tcBorders>
              <w:top w:val="single" w:sz="6" w:space="0" w:color="DDDDDD"/>
              <w:left w:val="single" w:sz="6" w:space="0" w:color="DDDDDD"/>
              <w:bottom w:val="single" w:sz="6" w:space="0" w:color="DDDDDD"/>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right"/>
              <w:rPr>
                <w:rFonts w:ascii="Bookman Old Style" w:hAnsi="Bookman Old Style" w:cs="Arial"/>
                <w:color w:val="000000"/>
                <w:sz w:val="22"/>
                <w:szCs w:val="22"/>
              </w:rPr>
            </w:pPr>
            <w:r w:rsidRPr="002955FD">
              <w:rPr>
                <w:rFonts w:ascii="Bookman Old Style" w:hAnsi="Bookman Old Style" w:cs="Arial"/>
                <w:color w:val="000000"/>
                <w:sz w:val="22"/>
                <w:szCs w:val="22"/>
              </w:rPr>
              <w:t>0,50%</w:t>
            </w:r>
          </w:p>
        </w:tc>
        <w:tc>
          <w:tcPr>
            <w:tcW w:w="0" w:type="auto"/>
            <w:tcBorders>
              <w:top w:val="single" w:sz="6" w:space="0" w:color="DDDDDD"/>
              <w:left w:val="single" w:sz="6" w:space="0" w:color="DDDDDD"/>
              <w:bottom w:val="single" w:sz="6" w:space="0" w:color="DDDDDD"/>
              <w:right w:val="single" w:sz="6" w:space="0" w:color="DDDDDD"/>
            </w:tcBorders>
            <w:shd w:val="clear" w:color="auto" w:fill="FFFBDC"/>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Dm Economia 11.12.2014, (*****)</w:t>
            </w:r>
          </w:p>
        </w:tc>
      </w:tr>
      <w:tr w:rsidR="006649DC" w:rsidRPr="002955FD" w:rsidTr="00397837">
        <w:trPr>
          <w:tblCellSpacing w:w="15" w:type="dxa"/>
          <w:jc w:val="center"/>
        </w:trPr>
        <w:tc>
          <w:tcPr>
            <w:tcW w:w="0" w:type="auto"/>
            <w:tcBorders>
              <w:top w:val="single" w:sz="8" w:space="0" w:color="DDDDDD"/>
              <w:left w:val="single" w:sz="6" w:space="0" w:color="DDDDDD"/>
              <w:bottom w:val="single" w:sz="8" w:space="0" w:color="DDDDDD"/>
              <w:right w:val="single" w:sz="6" w:space="0" w:color="AAAAAA"/>
            </w:tcBorders>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01/01/2016</w:t>
            </w:r>
          </w:p>
        </w:tc>
        <w:tc>
          <w:tcPr>
            <w:tcW w:w="0" w:type="auto"/>
            <w:tcBorders>
              <w:top w:val="single" w:sz="8" w:space="0" w:color="DDDDDD"/>
              <w:left w:val="single" w:sz="6" w:space="0" w:color="DDDDDD"/>
              <w:bottom w:val="single" w:sz="8" w:space="0" w:color="DDDDDD"/>
              <w:right w:val="single" w:sz="6" w:space="0" w:color="AAAAAA"/>
            </w:tcBorders>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Pr>
                <w:rFonts w:ascii="Bookman Old Style" w:hAnsi="Bookman Old Style" w:cs="Arial"/>
                <w:color w:val="000000"/>
                <w:sz w:val="22"/>
                <w:szCs w:val="22"/>
              </w:rPr>
              <w:t>31/12/2016</w:t>
            </w:r>
          </w:p>
        </w:tc>
        <w:tc>
          <w:tcPr>
            <w:tcW w:w="0" w:type="auto"/>
            <w:tcBorders>
              <w:top w:val="single" w:sz="8" w:space="0" w:color="DDDDDD"/>
              <w:left w:val="single" w:sz="6" w:space="0" w:color="DDDDDD"/>
              <w:bottom w:val="single" w:sz="8" w:space="0" w:color="DDDDDD"/>
              <w:right w:val="single" w:sz="6" w:space="0" w:color="AAAAAA"/>
            </w:tcBorders>
            <w:tcMar>
              <w:top w:w="50" w:type="dxa"/>
              <w:left w:w="50" w:type="dxa"/>
              <w:bottom w:w="50" w:type="dxa"/>
              <w:right w:w="50" w:type="dxa"/>
            </w:tcMar>
            <w:vAlign w:val="center"/>
          </w:tcPr>
          <w:p w:rsidR="006649DC" w:rsidRPr="002955FD" w:rsidRDefault="006649DC" w:rsidP="00DB5B57">
            <w:pPr>
              <w:ind w:left="67" w:right="67"/>
              <w:jc w:val="right"/>
              <w:rPr>
                <w:rFonts w:ascii="Bookman Old Style" w:hAnsi="Bookman Old Style" w:cs="Arial"/>
                <w:color w:val="000000"/>
                <w:sz w:val="22"/>
                <w:szCs w:val="22"/>
              </w:rPr>
            </w:pPr>
            <w:r w:rsidRPr="002955FD">
              <w:rPr>
                <w:rFonts w:ascii="Bookman Old Style" w:hAnsi="Bookman Old Style" w:cs="Arial"/>
                <w:color w:val="000000"/>
                <w:sz w:val="22"/>
                <w:szCs w:val="22"/>
              </w:rPr>
              <w:t>0,20%</w:t>
            </w:r>
          </w:p>
        </w:tc>
        <w:tc>
          <w:tcPr>
            <w:tcW w:w="0" w:type="auto"/>
            <w:tcBorders>
              <w:top w:val="single" w:sz="8" w:space="0" w:color="DDDDDD"/>
              <w:left w:val="single" w:sz="6" w:space="0" w:color="DDDDDD"/>
              <w:bottom w:val="single" w:sz="8" w:space="0" w:color="DDDDDD"/>
              <w:right w:val="single" w:sz="6" w:space="0" w:color="DDDDDD"/>
            </w:tcBorders>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sidRPr="002955FD">
              <w:rPr>
                <w:rFonts w:ascii="Bookman Old Style" w:hAnsi="Bookman Old Style" w:cs="Arial"/>
                <w:color w:val="000000"/>
                <w:sz w:val="22"/>
                <w:szCs w:val="22"/>
              </w:rPr>
              <w:t>Dm Economia 11/12/2015 (******)</w:t>
            </w:r>
          </w:p>
        </w:tc>
      </w:tr>
      <w:tr w:rsidR="006649DC" w:rsidRPr="002955FD" w:rsidTr="00090FD7">
        <w:trPr>
          <w:tblCellSpacing w:w="15" w:type="dxa"/>
          <w:jc w:val="center"/>
        </w:trPr>
        <w:tc>
          <w:tcPr>
            <w:tcW w:w="0" w:type="auto"/>
            <w:tcBorders>
              <w:top w:val="single" w:sz="6" w:space="0" w:color="DDDDDD"/>
              <w:left w:val="single" w:sz="6" w:space="0" w:color="DDDDDD"/>
              <w:bottom w:val="single" w:sz="6" w:space="0" w:color="DDDDDD"/>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Pr>
                <w:rFonts w:ascii="Bookman Old Style" w:hAnsi="Bookman Old Style" w:cs="Arial"/>
                <w:color w:val="000000"/>
                <w:sz w:val="22"/>
                <w:szCs w:val="22"/>
              </w:rPr>
              <w:t>01/01/2017</w:t>
            </w:r>
          </w:p>
        </w:tc>
        <w:tc>
          <w:tcPr>
            <w:tcW w:w="0" w:type="auto"/>
            <w:tcBorders>
              <w:top w:val="single" w:sz="6" w:space="0" w:color="DDDDDD"/>
              <w:left w:val="single" w:sz="6" w:space="0" w:color="DDDDDD"/>
              <w:bottom w:val="single" w:sz="6" w:space="0" w:color="DDDDDD"/>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right="67"/>
              <w:jc w:val="both"/>
              <w:rPr>
                <w:rFonts w:ascii="Bookman Old Style" w:hAnsi="Bookman Old Style" w:cs="Arial"/>
                <w:color w:val="000000"/>
                <w:sz w:val="22"/>
                <w:szCs w:val="22"/>
              </w:rPr>
            </w:pPr>
            <w:r>
              <w:rPr>
                <w:rFonts w:ascii="Bookman Old Style" w:hAnsi="Bookman Old Style" w:cs="Arial"/>
                <w:color w:val="000000"/>
                <w:sz w:val="22"/>
                <w:szCs w:val="22"/>
              </w:rPr>
              <w:t>31/12/2017</w:t>
            </w:r>
          </w:p>
        </w:tc>
        <w:tc>
          <w:tcPr>
            <w:tcW w:w="0" w:type="auto"/>
            <w:tcBorders>
              <w:top w:val="single" w:sz="6" w:space="0" w:color="DDDDDD"/>
              <w:left w:val="single" w:sz="6" w:space="0" w:color="DDDDDD"/>
              <w:bottom w:val="single" w:sz="6" w:space="0" w:color="DDDDDD"/>
              <w:right w:val="single" w:sz="6" w:space="0" w:color="AAAAAA"/>
            </w:tcBorders>
            <w:shd w:val="clear" w:color="auto" w:fill="FFFBDC"/>
            <w:tcMar>
              <w:top w:w="50" w:type="dxa"/>
              <w:left w:w="50" w:type="dxa"/>
              <w:bottom w:w="50" w:type="dxa"/>
              <w:right w:w="50" w:type="dxa"/>
            </w:tcMar>
            <w:vAlign w:val="center"/>
          </w:tcPr>
          <w:p w:rsidR="006649DC" w:rsidRPr="002955FD" w:rsidRDefault="006649DC" w:rsidP="00DB5B57">
            <w:pPr>
              <w:ind w:left="67" w:right="67"/>
              <w:jc w:val="right"/>
              <w:rPr>
                <w:rFonts w:ascii="Bookman Old Style" w:hAnsi="Bookman Old Style" w:cs="Arial"/>
                <w:color w:val="000000"/>
                <w:sz w:val="22"/>
                <w:szCs w:val="22"/>
              </w:rPr>
            </w:pPr>
            <w:r>
              <w:rPr>
                <w:rFonts w:ascii="Bookman Old Style" w:hAnsi="Bookman Old Style" w:cs="Arial"/>
                <w:color w:val="000000"/>
                <w:sz w:val="22"/>
                <w:szCs w:val="22"/>
              </w:rPr>
              <w:t>0,10%</w:t>
            </w:r>
          </w:p>
        </w:tc>
        <w:tc>
          <w:tcPr>
            <w:tcW w:w="0" w:type="auto"/>
            <w:tcBorders>
              <w:top w:val="single" w:sz="6" w:space="0" w:color="DDDDDD"/>
              <w:left w:val="single" w:sz="6" w:space="0" w:color="DDDDDD"/>
              <w:bottom w:val="single" w:sz="6" w:space="0" w:color="DDDDDD"/>
              <w:right w:val="single" w:sz="6" w:space="0" w:color="DDDDDD"/>
            </w:tcBorders>
            <w:shd w:val="clear" w:color="auto" w:fill="FFFBDC"/>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Pr>
                <w:rFonts w:ascii="Bookman Old Style" w:hAnsi="Bookman Old Style" w:cs="Arial"/>
                <w:color w:val="000000"/>
                <w:sz w:val="22"/>
                <w:szCs w:val="22"/>
              </w:rPr>
              <w:t>Dm Economia 7/12/2016 (*******)</w:t>
            </w:r>
          </w:p>
        </w:tc>
      </w:tr>
      <w:tr w:rsidR="006649DC" w:rsidRPr="002955FD" w:rsidTr="00DB5B57">
        <w:trPr>
          <w:tblCellSpacing w:w="15" w:type="dxa"/>
          <w:jc w:val="center"/>
        </w:trPr>
        <w:tc>
          <w:tcPr>
            <w:tcW w:w="0" w:type="auto"/>
            <w:tcBorders>
              <w:top w:val="single" w:sz="8" w:space="0" w:color="DDDDDD"/>
              <w:left w:val="single" w:sz="6" w:space="0" w:color="DDDDDD"/>
              <w:bottom w:val="single" w:sz="8" w:space="0" w:color="DDDDDD"/>
              <w:right w:val="single" w:sz="6" w:space="0" w:color="AAAAAA"/>
            </w:tcBorders>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Pr>
                <w:rFonts w:ascii="Bookman Old Style" w:hAnsi="Bookman Old Style" w:cs="Arial"/>
                <w:color w:val="000000"/>
                <w:sz w:val="22"/>
                <w:szCs w:val="22"/>
              </w:rPr>
              <w:t>01/01/2018</w:t>
            </w:r>
          </w:p>
        </w:tc>
        <w:tc>
          <w:tcPr>
            <w:tcW w:w="0" w:type="auto"/>
            <w:tcBorders>
              <w:top w:val="single" w:sz="8" w:space="0" w:color="DDDDDD"/>
              <w:left w:val="single" w:sz="6" w:space="0" w:color="DDDDDD"/>
              <w:bottom w:val="single" w:sz="8" w:space="0" w:color="DDDDDD"/>
              <w:right w:val="single" w:sz="6" w:space="0" w:color="AAAAAA"/>
            </w:tcBorders>
            <w:tcMar>
              <w:top w:w="50" w:type="dxa"/>
              <w:left w:w="50" w:type="dxa"/>
              <w:bottom w:w="50" w:type="dxa"/>
              <w:right w:w="50" w:type="dxa"/>
            </w:tcMar>
            <w:vAlign w:val="center"/>
          </w:tcPr>
          <w:p w:rsidR="006649DC" w:rsidRDefault="006649DC" w:rsidP="00DB5B57">
            <w:pPr>
              <w:ind w:left="67" w:right="67"/>
              <w:jc w:val="center"/>
              <w:rPr>
                <w:rFonts w:ascii="Bookman Old Style" w:hAnsi="Bookman Old Style" w:cs="Arial"/>
                <w:color w:val="000000"/>
                <w:sz w:val="22"/>
                <w:szCs w:val="22"/>
              </w:rPr>
            </w:pPr>
            <w:r>
              <w:rPr>
                <w:rFonts w:ascii="Bookman Old Style" w:hAnsi="Bookman Old Style" w:cs="Arial"/>
                <w:color w:val="000000"/>
                <w:sz w:val="22"/>
                <w:szCs w:val="22"/>
              </w:rPr>
              <w:t>---</w:t>
            </w:r>
          </w:p>
        </w:tc>
        <w:tc>
          <w:tcPr>
            <w:tcW w:w="0" w:type="auto"/>
            <w:tcBorders>
              <w:top w:val="single" w:sz="8" w:space="0" w:color="DDDDDD"/>
              <w:left w:val="single" w:sz="6" w:space="0" w:color="DDDDDD"/>
              <w:bottom w:val="single" w:sz="8" w:space="0" w:color="DDDDDD"/>
              <w:right w:val="single" w:sz="6" w:space="0" w:color="AAAAAA"/>
            </w:tcBorders>
            <w:tcMar>
              <w:top w:w="50" w:type="dxa"/>
              <w:left w:w="50" w:type="dxa"/>
              <w:bottom w:w="50" w:type="dxa"/>
              <w:right w:w="50" w:type="dxa"/>
            </w:tcMar>
            <w:vAlign w:val="center"/>
          </w:tcPr>
          <w:p w:rsidR="006649DC" w:rsidRPr="002955FD" w:rsidRDefault="006649DC" w:rsidP="00DB5B57">
            <w:pPr>
              <w:ind w:left="67" w:right="67"/>
              <w:jc w:val="right"/>
              <w:rPr>
                <w:rFonts w:ascii="Bookman Old Style" w:hAnsi="Bookman Old Style" w:cs="Arial"/>
                <w:color w:val="000000"/>
                <w:sz w:val="22"/>
                <w:szCs w:val="22"/>
              </w:rPr>
            </w:pPr>
            <w:r>
              <w:rPr>
                <w:rFonts w:ascii="Bookman Old Style" w:hAnsi="Bookman Old Style" w:cs="Arial"/>
                <w:color w:val="000000"/>
                <w:sz w:val="22"/>
                <w:szCs w:val="22"/>
              </w:rPr>
              <w:t>0,30%</w:t>
            </w:r>
          </w:p>
        </w:tc>
        <w:tc>
          <w:tcPr>
            <w:tcW w:w="0" w:type="auto"/>
            <w:tcBorders>
              <w:top w:val="single" w:sz="8" w:space="0" w:color="DDDDDD"/>
              <w:left w:val="single" w:sz="6" w:space="0" w:color="DDDDDD"/>
              <w:bottom w:val="single" w:sz="8" w:space="0" w:color="DDDDDD"/>
              <w:right w:val="single" w:sz="6" w:space="0" w:color="DDDDDD"/>
            </w:tcBorders>
            <w:tcMar>
              <w:top w:w="50" w:type="dxa"/>
              <w:left w:w="50" w:type="dxa"/>
              <w:bottom w:w="50" w:type="dxa"/>
              <w:right w:w="50" w:type="dxa"/>
            </w:tcMar>
            <w:vAlign w:val="center"/>
          </w:tcPr>
          <w:p w:rsidR="006649DC" w:rsidRPr="002955FD" w:rsidRDefault="006649DC" w:rsidP="00DB5B57">
            <w:pPr>
              <w:ind w:left="67" w:right="67"/>
              <w:jc w:val="both"/>
              <w:rPr>
                <w:rFonts w:ascii="Bookman Old Style" w:hAnsi="Bookman Old Style" w:cs="Arial"/>
                <w:color w:val="000000"/>
                <w:sz w:val="22"/>
                <w:szCs w:val="22"/>
              </w:rPr>
            </w:pPr>
            <w:r>
              <w:rPr>
                <w:rFonts w:ascii="Bookman Old Style" w:hAnsi="Bookman Old Style" w:cs="Arial"/>
                <w:color w:val="000000"/>
                <w:sz w:val="22"/>
                <w:szCs w:val="22"/>
              </w:rPr>
              <w:t>Dm Economia 13/12/2017 (********)</w:t>
            </w:r>
          </w:p>
        </w:tc>
      </w:tr>
    </w:tbl>
    <w:p w:rsidR="006649DC" w:rsidRPr="002955FD" w:rsidRDefault="006649DC" w:rsidP="002955FD">
      <w:pPr>
        <w:shd w:val="clear" w:color="auto" w:fill="FFFFFF"/>
        <w:jc w:val="both"/>
        <w:rPr>
          <w:rFonts w:ascii="Bookman Old Style" w:hAnsi="Bookman Old Style" w:cs="Arial"/>
          <w:i/>
          <w:iCs/>
          <w:color w:val="000000"/>
          <w:sz w:val="22"/>
          <w:szCs w:val="22"/>
        </w:rPr>
      </w:pPr>
      <w:r w:rsidRPr="002955FD">
        <w:rPr>
          <w:rFonts w:ascii="Bookman Old Style" w:hAnsi="Bookman Old Style" w:cs="Arial"/>
          <w:color w:val="000000"/>
          <w:sz w:val="22"/>
          <w:szCs w:val="22"/>
        </w:rPr>
        <w:tab/>
      </w:r>
      <w:r w:rsidRPr="002955FD">
        <w:rPr>
          <w:rFonts w:ascii="Bookman Old Style" w:hAnsi="Bookman Old Style" w:cs="Arial"/>
          <w:color w:val="000000"/>
          <w:sz w:val="22"/>
          <w:szCs w:val="22"/>
          <w:lang w:val="fr-FR"/>
        </w:rPr>
        <w:t xml:space="preserve">(*) </w:t>
      </w:r>
      <w:r w:rsidRPr="002955FD">
        <w:rPr>
          <w:rFonts w:ascii="Bookman Old Style" w:hAnsi="Bookman Old Style" w:cs="Arial"/>
          <w:i/>
          <w:iCs/>
          <w:color w:val="000000"/>
          <w:sz w:val="22"/>
          <w:szCs w:val="22"/>
          <w:lang w:val="fr-FR"/>
        </w:rPr>
        <w:t xml:space="preserve">G.U. 15 </w:t>
      </w:r>
      <w:r w:rsidRPr="002955FD">
        <w:rPr>
          <w:rFonts w:ascii="Bookman Old Style" w:hAnsi="Bookman Old Style" w:cs="Arial"/>
          <w:i/>
          <w:iCs/>
          <w:color w:val="000000"/>
          <w:sz w:val="22"/>
          <w:szCs w:val="22"/>
        </w:rPr>
        <w:t>dicembre 2009, n. 291</w:t>
      </w:r>
    </w:p>
    <w:p w:rsidR="006649DC" w:rsidRPr="002955FD" w:rsidRDefault="006649DC" w:rsidP="002955FD">
      <w:pPr>
        <w:shd w:val="clear" w:color="auto" w:fill="FFFFFF"/>
        <w:jc w:val="both"/>
        <w:rPr>
          <w:rFonts w:ascii="Bookman Old Style" w:hAnsi="Bookman Old Style" w:cs="Arial"/>
          <w:i/>
          <w:iCs/>
          <w:color w:val="000000"/>
          <w:sz w:val="22"/>
          <w:szCs w:val="22"/>
        </w:rPr>
      </w:pPr>
      <w:r w:rsidRPr="002955FD">
        <w:rPr>
          <w:rFonts w:ascii="Bookman Old Style" w:hAnsi="Bookman Old Style" w:cs="Arial"/>
          <w:color w:val="000000"/>
          <w:sz w:val="22"/>
          <w:szCs w:val="22"/>
        </w:rPr>
        <w:tab/>
        <w:t xml:space="preserve">(**) </w:t>
      </w:r>
      <w:r w:rsidRPr="002955FD">
        <w:rPr>
          <w:rFonts w:ascii="Bookman Old Style" w:hAnsi="Bookman Old Style" w:cs="Arial"/>
          <w:i/>
          <w:iCs/>
          <w:color w:val="000000"/>
          <w:sz w:val="22"/>
          <w:szCs w:val="22"/>
        </w:rPr>
        <w:t>G.U. 15 dicembre 2010, n. 292</w:t>
      </w:r>
    </w:p>
    <w:p w:rsidR="006649DC" w:rsidRPr="002955FD" w:rsidRDefault="006649DC" w:rsidP="002955FD">
      <w:pPr>
        <w:shd w:val="clear" w:color="auto" w:fill="FFFFFF"/>
        <w:ind w:firstLine="708"/>
        <w:jc w:val="both"/>
        <w:rPr>
          <w:rFonts w:ascii="Bookman Old Style" w:hAnsi="Bookman Old Style" w:cs="Arial"/>
          <w:i/>
          <w:iCs/>
          <w:color w:val="000000"/>
          <w:sz w:val="22"/>
          <w:szCs w:val="22"/>
        </w:rPr>
      </w:pPr>
      <w:r w:rsidRPr="002955FD">
        <w:rPr>
          <w:rFonts w:ascii="Bookman Old Style" w:hAnsi="Bookman Old Style" w:cs="Arial"/>
          <w:color w:val="000000"/>
          <w:sz w:val="22"/>
          <w:szCs w:val="22"/>
        </w:rPr>
        <w:t xml:space="preserve">(***) </w:t>
      </w:r>
      <w:r w:rsidRPr="002955FD">
        <w:rPr>
          <w:rFonts w:ascii="Bookman Old Style" w:hAnsi="Bookman Old Style" w:cs="Arial"/>
          <w:i/>
          <w:iCs/>
          <w:color w:val="000000"/>
          <w:sz w:val="22"/>
          <w:szCs w:val="22"/>
        </w:rPr>
        <w:t>G.U. 15 dicembre 2011, n. 291</w:t>
      </w:r>
    </w:p>
    <w:p w:rsidR="006649DC" w:rsidRPr="002955FD" w:rsidRDefault="006649DC" w:rsidP="002955FD">
      <w:pPr>
        <w:shd w:val="clear" w:color="auto" w:fill="FFFFFF"/>
        <w:ind w:firstLine="708"/>
        <w:jc w:val="both"/>
        <w:rPr>
          <w:rFonts w:ascii="Bookman Old Style" w:hAnsi="Bookman Old Style" w:cs="Arial"/>
          <w:i/>
          <w:iCs/>
          <w:color w:val="000000"/>
          <w:sz w:val="22"/>
          <w:szCs w:val="22"/>
        </w:rPr>
      </w:pPr>
      <w:r w:rsidRPr="002955FD">
        <w:rPr>
          <w:rFonts w:ascii="Bookman Old Style" w:hAnsi="Bookman Old Style" w:cs="Arial"/>
          <w:color w:val="000000"/>
          <w:sz w:val="22"/>
          <w:szCs w:val="22"/>
        </w:rPr>
        <w:t xml:space="preserve">(****) </w:t>
      </w:r>
      <w:r w:rsidRPr="002955FD">
        <w:rPr>
          <w:rFonts w:ascii="Bookman Old Style" w:hAnsi="Bookman Old Style" w:cs="Arial"/>
          <w:i/>
          <w:iCs/>
          <w:color w:val="000000"/>
          <w:sz w:val="22"/>
          <w:szCs w:val="22"/>
        </w:rPr>
        <w:t>G.U. 13 dicembre 2013, n. 292</w:t>
      </w:r>
    </w:p>
    <w:p w:rsidR="006649DC" w:rsidRPr="002955FD" w:rsidRDefault="006649DC" w:rsidP="002955FD">
      <w:pPr>
        <w:shd w:val="clear" w:color="auto" w:fill="FFFFFF"/>
        <w:ind w:firstLine="708"/>
        <w:jc w:val="both"/>
        <w:rPr>
          <w:rFonts w:ascii="Bookman Old Style" w:hAnsi="Bookman Old Style" w:cs="Arial"/>
          <w:i/>
          <w:iCs/>
          <w:color w:val="000000"/>
          <w:sz w:val="22"/>
          <w:szCs w:val="22"/>
          <w:lang w:val="fr-FR"/>
        </w:rPr>
      </w:pPr>
      <w:r w:rsidRPr="002955FD">
        <w:rPr>
          <w:rFonts w:ascii="Bookman Old Style" w:hAnsi="Bookman Old Style" w:cs="Arial"/>
          <w:color w:val="000000"/>
          <w:sz w:val="22"/>
          <w:szCs w:val="22"/>
        </w:rPr>
        <w:t xml:space="preserve">(*****) </w:t>
      </w:r>
      <w:r w:rsidRPr="002955FD">
        <w:rPr>
          <w:rFonts w:ascii="Bookman Old Style" w:hAnsi="Bookman Old Style" w:cs="Arial"/>
          <w:i/>
          <w:iCs/>
          <w:color w:val="000000"/>
          <w:sz w:val="22"/>
          <w:szCs w:val="22"/>
        </w:rPr>
        <w:t>G.U. 15 dicembre 2014</w:t>
      </w:r>
      <w:r w:rsidRPr="002955FD">
        <w:rPr>
          <w:rFonts w:ascii="Bookman Old Style" w:hAnsi="Bookman Old Style" w:cs="Arial"/>
          <w:i/>
          <w:iCs/>
          <w:color w:val="000000"/>
          <w:sz w:val="22"/>
          <w:szCs w:val="22"/>
          <w:lang w:val="fr-FR"/>
        </w:rPr>
        <w:t>, n. 290</w:t>
      </w:r>
    </w:p>
    <w:p w:rsidR="006649DC" w:rsidRDefault="006649DC" w:rsidP="002955FD">
      <w:pPr>
        <w:shd w:val="clear" w:color="auto" w:fill="FFFFFF"/>
        <w:ind w:firstLine="708"/>
        <w:jc w:val="both"/>
        <w:rPr>
          <w:rFonts w:ascii="Bookman Old Style" w:hAnsi="Bookman Old Style" w:cs="Arial"/>
          <w:i/>
          <w:iCs/>
          <w:color w:val="000000"/>
          <w:sz w:val="22"/>
          <w:szCs w:val="22"/>
          <w:lang w:val="fr-FR"/>
        </w:rPr>
      </w:pPr>
      <w:r w:rsidRPr="002955FD">
        <w:rPr>
          <w:rFonts w:ascii="Bookman Old Style" w:hAnsi="Bookman Old Style" w:cs="Arial"/>
          <w:color w:val="000000"/>
          <w:sz w:val="22"/>
          <w:szCs w:val="22"/>
        </w:rPr>
        <w:t xml:space="preserve">(******) </w:t>
      </w:r>
      <w:r w:rsidRPr="002955FD">
        <w:rPr>
          <w:rFonts w:ascii="Bookman Old Style" w:hAnsi="Bookman Old Style" w:cs="Arial"/>
          <w:i/>
          <w:iCs/>
          <w:color w:val="000000"/>
          <w:sz w:val="22"/>
          <w:szCs w:val="22"/>
        </w:rPr>
        <w:t>G.U. 15 dicembre 2015</w:t>
      </w:r>
      <w:r w:rsidRPr="002955FD">
        <w:rPr>
          <w:rFonts w:ascii="Bookman Old Style" w:hAnsi="Bookman Old Style" w:cs="Arial"/>
          <w:i/>
          <w:iCs/>
          <w:color w:val="000000"/>
          <w:sz w:val="22"/>
          <w:szCs w:val="22"/>
          <w:lang w:val="fr-FR"/>
        </w:rPr>
        <w:t>, n. 291</w:t>
      </w:r>
    </w:p>
    <w:p w:rsidR="006649DC" w:rsidRDefault="006649DC" w:rsidP="002955FD">
      <w:pPr>
        <w:shd w:val="clear" w:color="auto" w:fill="FFFFFF"/>
        <w:ind w:firstLine="708"/>
        <w:jc w:val="both"/>
        <w:rPr>
          <w:rFonts w:ascii="Bookman Old Style" w:hAnsi="Bookman Old Style" w:cs="Arial"/>
          <w:i/>
          <w:iCs/>
          <w:color w:val="000000"/>
          <w:sz w:val="22"/>
          <w:szCs w:val="22"/>
          <w:lang w:val="fr-FR"/>
        </w:rPr>
      </w:pPr>
      <w:r>
        <w:rPr>
          <w:rFonts w:ascii="Bookman Old Style" w:hAnsi="Bookman Old Style" w:cs="Arial"/>
          <w:i/>
          <w:iCs/>
          <w:color w:val="000000"/>
          <w:sz w:val="22"/>
          <w:szCs w:val="22"/>
          <w:lang w:val="fr-FR"/>
        </w:rPr>
        <w:t xml:space="preserve">(*******) G.U. 14 </w:t>
      </w:r>
      <w:r w:rsidRPr="002955FD">
        <w:rPr>
          <w:rFonts w:ascii="Bookman Old Style" w:hAnsi="Bookman Old Style" w:cs="Arial"/>
          <w:i/>
          <w:iCs/>
          <w:color w:val="000000"/>
          <w:sz w:val="22"/>
          <w:szCs w:val="22"/>
        </w:rPr>
        <w:t xml:space="preserve">dicembre </w:t>
      </w:r>
      <w:r>
        <w:rPr>
          <w:rFonts w:ascii="Bookman Old Style" w:hAnsi="Bookman Old Style" w:cs="Arial"/>
          <w:i/>
          <w:iCs/>
          <w:color w:val="000000"/>
          <w:sz w:val="22"/>
          <w:szCs w:val="22"/>
          <w:lang w:val="fr-FR"/>
        </w:rPr>
        <w:t>2016, n. 291</w:t>
      </w:r>
    </w:p>
    <w:p w:rsidR="006649DC" w:rsidRPr="002955FD" w:rsidRDefault="006649DC" w:rsidP="008B6748">
      <w:pPr>
        <w:shd w:val="clear" w:color="auto" w:fill="FFFFFF"/>
        <w:ind w:firstLine="708"/>
        <w:jc w:val="both"/>
        <w:rPr>
          <w:rFonts w:ascii="Bookman Old Style" w:hAnsi="Bookman Old Style" w:cs="Arial"/>
          <w:i/>
          <w:iCs/>
          <w:color w:val="000000"/>
          <w:sz w:val="22"/>
          <w:szCs w:val="22"/>
          <w:lang w:val="fr-FR"/>
        </w:rPr>
      </w:pPr>
      <w:r>
        <w:rPr>
          <w:rFonts w:ascii="Bookman Old Style" w:hAnsi="Bookman Old Style" w:cs="Arial"/>
          <w:i/>
          <w:iCs/>
          <w:color w:val="000000"/>
          <w:sz w:val="22"/>
          <w:szCs w:val="22"/>
          <w:lang w:val="fr-FR"/>
        </w:rPr>
        <w:t xml:space="preserve">(********) G.U. 13 </w:t>
      </w:r>
      <w:r w:rsidRPr="002955FD">
        <w:rPr>
          <w:rFonts w:ascii="Bookman Old Style" w:hAnsi="Bookman Old Style" w:cs="Arial"/>
          <w:i/>
          <w:iCs/>
          <w:color w:val="000000"/>
          <w:sz w:val="22"/>
          <w:szCs w:val="22"/>
        </w:rPr>
        <w:t xml:space="preserve">dicembre </w:t>
      </w:r>
      <w:r>
        <w:rPr>
          <w:rFonts w:ascii="Bookman Old Style" w:hAnsi="Bookman Old Style" w:cs="Arial"/>
          <w:i/>
          <w:iCs/>
          <w:color w:val="000000"/>
          <w:sz w:val="22"/>
          <w:szCs w:val="22"/>
          <w:lang w:val="fr-FR"/>
        </w:rPr>
        <w:t>2017, n. 292</w:t>
      </w:r>
    </w:p>
    <w:p w:rsidR="006649DC" w:rsidRPr="002955FD" w:rsidRDefault="006649DC" w:rsidP="002955FD">
      <w:pPr>
        <w:shd w:val="clear" w:color="auto" w:fill="FFFFFF"/>
        <w:ind w:firstLine="708"/>
        <w:jc w:val="both"/>
        <w:rPr>
          <w:rFonts w:ascii="Bookman Old Style" w:hAnsi="Bookman Old Style" w:cs="Arial"/>
          <w:i/>
          <w:iCs/>
          <w:color w:val="000000"/>
          <w:sz w:val="22"/>
          <w:szCs w:val="22"/>
          <w:lang w:val="fr-FR"/>
        </w:rPr>
      </w:pPr>
    </w:p>
    <w:p w:rsidR="006649DC" w:rsidRPr="002955FD" w:rsidRDefault="006649DC" w:rsidP="002955FD">
      <w:pPr>
        <w:pStyle w:val="Corpotesto1"/>
        <w:rPr>
          <w:szCs w:val="22"/>
        </w:rPr>
      </w:pPr>
    </w:p>
    <w:p w:rsidR="006649DC" w:rsidRPr="002955FD" w:rsidRDefault="006649DC" w:rsidP="002955FD">
      <w:pPr>
        <w:pStyle w:val="Corpotesto1"/>
        <w:rPr>
          <w:szCs w:val="22"/>
        </w:rPr>
      </w:pPr>
    </w:p>
    <w:p w:rsidR="006649DC" w:rsidRPr="002955FD" w:rsidRDefault="006649DC" w:rsidP="002955FD">
      <w:pPr>
        <w:pStyle w:val="Corpotesto1"/>
        <w:rPr>
          <w:szCs w:val="22"/>
        </w:rPr>
      </w:pPr>
      <w:r w:rsidRPr="002955FD">
        <w:rPr>
          <w:szCs w:val="22"/>
        </w:rPr>
        <w:t>Gli interessi debbono essere calcolati sulla somma rivalutata anno per anno (Cass.Civ. Sezioni Unite 17/02/95 n. 1712).</w:t>
      </w:r>
    </w:p>
    <w:p w:rsidR="006649DC" w:rsidRPr="002955FD" w:rsidRDefault="006649DC" w:rsidP="002955FD">
      <w:pPr>
        <w:jc w:val="both"/>
        <w:rPr>
          <w:rFonts w:ascii="Bookman Old Style" w:hAnsi="Bookman Old Style"/>
          <w:bCs/>
          <w:sz w:val="22"/>
          <w:szCs w:val="22"/>
        </w:rPr>
      </w:pPr>
      <w:r w:rsidRPr="002955FD">
        <w:rPr>
          <w:rFonts w:ascii="Bookman Old Style" w:hAnsi="Bookman Old Style"/>
          <w:bCs/>
          <w:sz w:val="22"/>
          <w:szCs w:val="22"/>
        </w:rPr>
        <w:t>Diversamente, salvo casi ristretti individuati dall’articolo 1283 del codice civile o quando lo prevedano gli usi normativi, non è consentito l’anatocismo (capitalizzazione degli interessi).</w:t>
      </w:r>
    </w:p>
    <w:p w:rsidR="006649DC" w:rsidRPr="002955FD"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Cs/>
          <w:sz w:val="22"/>
          <w:szCs w:val="22"/>
        </w:rPr>
      </w:pPr>
      <w:r w:rsidRPr="002955FD">
        <w:rPr>
          <w:rFonts w:ascii="Bookman Old Style" w:hAnsi="Bookman Old Style"/>
          <w:bCs/>
          <w:sz w:val="22"/>
          <w:szCs w:val="22"/>
        </w:rPr>
        <w:t xml:space="preserve">La modifica è stata decisa dal ministero dell’Economia sulla base del rendimento medio dei titoli di Stato e del tasso di inflazione annuo. </w:t>
      </w:r>
    </w:p>
    <w:p w:rsidR="006649DC" w:rsidRPr="002955FD"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Cs/>
          <w:sz w:val="22"/>
          <w:szCs w:val="22"/>
        </w:rPr>
      </w:pPr>
      <w:r w:rsidRPr="002955FD">
        <w:rPr>
          <w:rFonts w:ascii="Bookman Old Style" w:hAnsi="Bookman Old Style"/>
          <w:bCs/>
          <w:sz w:val="22"/>
          <w:szCs w:val="22"/>
        </w:rPr>
        <w:t xml:space="preserve">Fra le altre </w:t>
      </w:r>
      <w:r w:rsidRPr="002955FD">
        <w:rPr>
          <w:rFonts w:ascii="Bookman Old Style" w:hAnsi="Bookman Old Style"/>
          <w:b/>
          <w:sz w:val="22"/>
          <w:szCs w:val="22"/>
        </w:rPr>
        <w:t>conseguenze</w:t>
      </w:r>
      <w:r w:rsidRPr="002955FD">
        <w:rPr>
          <w:rFonts w:ascii="Bookman Old Style" w:hAnsi="Bookman Old Style"/>
          <w:bCs/>
          <w:sz w:val="22"/>
          <w:szCs w:val="22"/>
        </w:rPr>
        <w:t xml:space="preserve"> (ad esempio il tasso legale è utilizzato per la determinazione dell’usufrutto vitalizio), cambieranno gli importi dovuti al Fisco per i versamenti in ritardo, tramite la procedura di “</w:t>
      </w:r>
      <w:r w:rsidRPr="002955FD">
        <w:rPr>
          <w:rFonts w:ascii="Bookman Old Style" w:hAnsi="Bookman Old Style"/>
          <w:b/>
          <w:sz w:val="22"/>
          <w:szCs w:val="22"/>
        </w:rPr>
        <w:t>ravvedimento operoso</w:t>
      </w:r>
      <w:r w:rsidRPr="002955FD">
        <w:rPr>
          <w:rFonts w:ascii="Bookman Old Style" w:hAnsi="Bookman Old Style"/>
          <w:bCs/>
          <w:sz w:val="22"/>
          <w:szCs w:val="22"/>
        </w:rPr>
        <w:t>”. A tale proposito, si ricorda che gli interessi vanno calcolati dal giorno successivo a quello entro il quale il pagamento andava fatto e fino al giorno in cui si fa il versamento. Considerando i tassi in vigore nei diversi periodi interessati. Per esempio: su un versamento Irpef da parte di un sostituto d’imposta effettuato il 15 gennaio 201</w:t>
      </w:r>
      <w:r>
        <w:rPr>
          <w:rFonts w:ascii="Bookman Old Style" w:hAnsi="Bookman Old Style"/>
          <w:bCs/>
          <w:sz w:val="22"/>
          <w:szCs w:val="22"/>
        </w:rPr>
        <w:t>8</w:t>
      </w:r>
      <w:r w:rsidRPr="002955FD">
        <w:rPr>
          <w:rFonts w:ascii="Bookman Old Style" w:hAnsi="Bookman Old Style"/>
          <w:bCs/>
          <w:sz w:val="22"/>
          <w:szCs w:val="22"/>
        </w:rPr>
        <w:t xml:space="preserve"> (la scadenza era il 16 dicembre 201</w:t>
      </w:r>
      <w:r>
        <w:rPr>
          <w:rFonts w:ascii="Bookman Old Style" w:hAnsi="Bookman Old Style"/>
          <w:bCs/>
          <w:sz w:val="22"/>
          <w:szCs w:val="22"/>
        </w:rPr>
        <w:t>7</w:t>
      </w:r>
      <w:r w:rsidRPr="002955FD">
        <w:rPr>
          <w:rFonts w:ascii="Bookman Old Style" w:hAnsi="Bookman Old Style"/>
          <w:bCs/>
          <w:sz w:val="22"/>
          <w:szCs w:val="22"/>
        </w:rPr>
        <w:t>) occorreva calcolare gli interessi dello</w:t>
      </w:r>
      <w:r>
        <w:rPr>
          <w:rFonts w:ascii="Bookman Old Style" w:hAnsi="Bookman Old Style"/>
          <w:bCs/>
          <w:sz w:val="22"/>
          <w:szCs w:val="22"/>
        </w:rPr>
        <w:t xml:space="preserve"> </w:t>
      </w:r>
      <w:r w:rsidRPr="002955FD">
        <w:rPr>
          <w:rFonts w:ascii="Bookman Old Style" w:hAnsi="Bookman Old Style"/>
          <w:bCs/>
          <w:sz w:val="22"/>
          <w:szCs w:val="22"/>
        </w:rPr>
        <w:t>0,</w:t>
      </w:r>
      <w:r>
        <w:rPr>
          <w:rFonts w:ascii="Bookman Old Style" w:hAnsi="Bookman Old Style"/>
          <w:bCs/>
          <w:sz w:val="22"/>
          <w:szCs w:val="22"/>
        </w:rPr>
        <w:t>1</w:t>
      </w:r>
      <w:r w:rsidRPr="002955FD">
        <w:rPr>
          <w:rFonts w:ascii="Bookman Old Style" w:hAnsi="Bookman Old Style"/>
          <w:bCs/>
          <w:sz w:val="22"/>
          <w:szCs w:val="22"/>
        </w:rPr>
        <w:t>% dell’imposta dovuta dal 17 al 31 dicembre 201</w:t>
      </w:r>
      <w:r>
        <w:rPr>
          <w:rFonts w:ascii="Bookman Old Style" w:hAnsi="Bookman Old Style"/>
          <w:bCs/>
          <w:sz w:val="22"/>
          <w:szCs w:val="22"/>
        </w:rPr>
        <w:t xml:space="preserve">7 </w:t>
      </w:r>
      <w:r w:rsidRPr="002955FD">
        <w:rPr>
          <w:rFonts w:ascii="Bookman Old Style" w:hAnsi="Bookman Old Style"/>
          <w:bCs/>
          <w:sz w:val="22"/>
          <w:szCs w:val="22"/>
        </w:rPr>
        <w:t>e dello 0,</w:t>
      </w:r>
      <w:r>
        <w:rPr>
          <w:rFonts w:ascii="Bookman Old Style" w:hAnsi="Bookman Old Style"/>
          <w:bCs/>
          <w:sz w:val="22"/>
          <w:szCs w:val="22"/>
        </w:rPr>
        <w:t>3</w:t>
      </w:r>
      <w:r w:rsidRPr="002955FD">
        <w:rPr>
          <w:rFonts w:ascii="Bookman Old Style" w:hAnsi="Bookman Old Style"/>
          <w:bCs/>
          <w:sz w:val="22"/>
          <w:szCs w:val="22"/>
        </w:rPr>
        <w:t>% dal 1° al 15 gennaio 201</w:t>
      </w:r>
      <w:r>
        <w:rPr>
          <w:rFonts w:ascii="Bookman Old Style" w:hAnsi="Bookman Old Style"/>
          <w:bCs/>
          <w:sz w:val="22"/>
          <w:szCs w:val="22"/>
        </w:rPr>
        <w:t>8</w:t>
      </w:r>
      <w:r w:rsidRPr="002955FD">
        <w:rPr>
          <w:rFonts w:ascii="Bookman Old Style" w:hAnsi="Bookman Old Style"/>
          <w:bCs/>
          <w:sz w:val="22"/>
          <w:szCs w:val="22"/>
        </w:rPr>
        <w:t>.</w:t>
      </w:r>
    </w:p>
    <w:p w:rsidR="006649DC" w:rsidRPr="002955FD"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Cs/>
          <w:sz w:val="22"/>
          <w:szCs w:val="22"/>
        </w:rPr>
      </w:pPr>
    </w:p>
    <w:p w:rsidR="006649DC" w:rsidRPr="002955FD" w:rsidRDefault="006649DC" w:rsidP="002955FD">
      <w:pPr>
        <w:pStyle w:val="Heading2"/>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pStyle w:val="Heading2"/>
        <w:jc w:val="both"/>
        <w:rPr>
          <w:rFonts w:ascii="Bookman Old Style" w:hAnsi="Bookman Old Style"/>
          <w:sz w:val="22"/>
          <w:szCs w:val="22"/>
        </w:rPr>
      </w:pPr>
      <w:bookmarkStart w:id="34" w:name="_Toc448485264"/>
      <w:bookmarkStart w:id="35" w:name="_Toc448485388"/>
      <w:bookmarkStart w:id="36" w:name="_Toc448485527"/>
      <w:bookmarkStart w:id="37" w:name="_Toc448485655"/>
      <w:bookmarkStart w:id="38" w:name="_Toc448485780"/>
      <w:bookmarkStart w:id="39" w:name="_Toc448485883"/>
      <w:bookmarkStart w:id="40" w:name="_Toc448494586"/>
      <w:bookmarkStart w:id="41" w:name="_Toc506559945"/>
      <w:r w:rsidRPr="002955FD">
        <w:rPr>
          <w:rFonts w:ascii="Bookman Old Style" w:hAnsi="Bookman Old Style"/>
          <w:sz w:val="22"/>
          <w:szCs w:val="22"/>
        </w:rPr>
        <w:t>INTERESSI DI MORA</w:t>
      </w:r>
      <w:bookmarkEnd w:id="34"/>
      <w:bookmarkEnd w:id="35"/>
      <w:bookmarkEnd w:id="36"/>
      <w:bookmarkEnd w:id="37"/>
      <w:bookmarkEnd w:id="38"/>
      <w:bookmarkEnd w:id="39"/>
      <w:bookmarkEnd w:id="40"/>
      <w:bookmarkEnd w:id="41"/>
    </w:p>
    <w:p w:rsidR="006649DC" w:rsidRPr="002955FD" w:rsidRDefault="006649DC" w:rsidP="002955FD">
      <w:pPr>
        <w:autoSpaceDE w:val="0"/>
        <w:autoSpaceDN w:val="0"/>
        <w:adjustRightInd w:val="0"/>
        <w:jc w:val="both"/>
        <w:rPr>
          <w:rFonts w:ascii="Bookman Old Style" w:hAnsi="Bookman Old Style"/>
          <w:bCs/>
          <w:sz w:val="22"/>
          <w:szCs w:val="22"/>
        </w:rPr>
      </w:pPr>
    </w:p>
    <w:p w:rsidR="006649DC" w:rsidRPr="002955FD" w:rsidRDefault="006649DC" w:rsidP="002955FD">
      <w:pPr>
        <w:autoSpaceDE w:val="0"/>
        <w:autoSpaceDN w:val="0"/>
        <w:adjustRightInd w:val="0"/>
        <w:jc w:val="both"/>
        <w:rPr>
          <w:rFonts w:ascii="Bookman Old Style" w:hAnsi="Bookman Old Style"/>
          <w:bCs/>
          <w:sz w:val="22"/>
          <w:szCs w:val="22"/>
        </w:rPr>
      </w:pPr>
    </w:p>
    <w:p w:rsidR="006649DC" w:rsidRPr="002955FD" w:rsidRDefault="006649DC" w:rsidP="002955FD">
      <w:pPr>
        <w:autoSpaceDE w:val="0"/>
        <w:autoSpaceDN w:val="0"/>
        <w:adjustRightInd w:val="0"/>
        <w:jc w:val="both"/>
        <w:rPr>
          <w:rFonts w:ascii="Bookman Old Style" w:hAnsi="Bookman Old Style"/>
          <w:bCs/>
          <w:sz w:val="22"/>
          <w:szCs w:val="22"/>
        </w:rPr>
      </w:pPr>
      <w:r w:rsidRPr="002955FD">
        <w:rPr>
          <w:rFonts w:ascii="Bookman Old Style" w:hAnsi="Bookman Old Style"/>
          <w:bCs/>
          <w:sz w:val="22"/>
          <w:szCs w:val="22"/>
        </w:rPr>
        <w:t>Il D.Lgs n. 231 del 9 ottobre 2002, recependo la Direttiva comunitaria n. 2000/35/CE del 29 giugno 2000, ha cercato di ridurre i ritardi nei pagamenti nelle transazioni commerciali attraverso l’introduzione di una disciplina piuttosto rigida (quasi punitiva) nei confronti dei soggetti in ritardo nell’adempimento della propria obbligazione.</w:t>
      </w:r>
    </w:p>
    <w:p w:rsidR="006649DC" w:rsidRPr="002955FD" w:rsidRDefault="006649DC" w:rsidP="002955FD">
      <w:pPr>
        <w:autoSpaceDE w:val="0"/>
        <w:autoSpaceDN w:val="0"/>
        <w:adjustRightInd w:val="0"/>
        <w:jc w:val="both"/>
        <w:rPr>
          <w:rFonts w:ascii="Bookman Old Style" w:hAnsi="Bookman Old Style"/>
          <w:bCs/>
          <w:sz w:val="22"/>
          <w:szCs w:val="22"/>
        </w:rPr>
      </w:pPr>
      <w:r w:rsidRPr="002955FD">
        <w:rPr>
          <w:rFonts w:ascii="Bookman Old Style" w:hAnsi="Bookman Old Style"/>
          <w:bCs/>
          <w:sz w:val="22"/>
          <w:szCs w:val="22"/>
        </w:rPr>
        <w:t>Nel nostro ordinamento gli interessi moratori sono disciplinati dagli artt. 1219 ss. Del codice civile in seno alle “transazioni commerciali” tra le imprese (vendita di merce, prestazioni di servizi) ovvero tra le imprese e la Pubblica Amministrazione.</w:t>
      </w:r>
    </w:p>
    <w:p w:rsidR="006649DC" w:rsidRPr="002955FD" w:rsidRDefault="006649DC" w:rsidP="002955FD">
      <w:pPr>
        <w:autoSpaceDE w:val="0"/>
        <w:autoSpaceDN w:val="0"/>
        <w:adjustRightInd w:val="0"/>
        <w:jc w:val="both"/>
        <w:rPr>
          <w:rFonts w:ascii="Bookman Old Style" w:hAnsi="Bookman Old Style"/>
          <w:bCs/>
          <w:sz w:val="22"/>
          <w:szCs w:val="22"/>
        </w:rPr>
      </w:pPr>
      <w:r w:rsidRPr="002955FD">
        <w:rPr>
          <w:rFonts w:ascii="Bookman Old Style" w:hAnsi="Bookman Old Style"/>
          <w:bCs/>
          <w:sz w:val="22"/>
          <w:szCs w:val="22"/>
        </w:rPr>
        <w:t>Il D.Lgs. 231/2002, come modificato dal D.Lgs. 192/2012 (di recepimento della Dir. 2011/7/Ue), ha previsto – per i contratti conclusi a partire dal 1 gennaio 2013 –la decorrenza automatica degli interessi di mora dal giorno successivo alla scadenza senza che sia necessaria una comunicazione scritta al debitore (messa in mora, come già previsto dall’art. 1219 del codice civile).</w:t>
      </w:r>
    </w:p>
    <w:p w:rsidR="006649DC" w:rsidRPr="002955FD" w:rsidRDefault="006649DC" w:rsidP="002955FD">
      <w:pPr>
        <w:autoSpaceDE w:val="0"/>
        <w:autoSpaceDN w:val="0"/>
        <w:adjustRightInd w:val="0"/>
        <w:jc w:val="both"/>
        <w:rPr>
          <w:rFonts w:ascii="Bookman Old Style" w:hAnsi="Bookman Old Style"/>
          <w:bCs/>
          <w:sz w:val="22"/>
          <w:szCs w:val="22"/>
        </w:rPr>
      </w:pPr>
      <w:r w:rsidRPr="002955FD">
        <w:rPr>
          <w:rFonts w:ascii="Bookman Old Style" w:hAnsi="Bookman Old Style"/>
          <w:bCs/>
          <w:sz w:val="22"/>
          <w:szCs w:val="22"/>
        </w:rPr>
        <w:t>Sugli interessi di mora è stata introdotta una maggiorazione del tasso degli interessi legali moratori dell’ 8% rispetto al tasso fissato dalla BCE per le operazioni di rifinanziamento.</w:t>
      </w:r>
    </w:p>
    <w:p w:rsidR="006649DC" w:rsidRPr="002955FD" w:rsidRDefault="006649DC" w:rsidP="002955FD">
      <w:pPr>
        <w:autoSpaceDE w:val="0"/>
        <w:autoSpaceDN w:val="0"/>
        <w:adjustRightInd w:val="0"/>
        <w:jc w:val="both"/>
        <w:rPr>
          <w:rFonts w:ascii="Bookman Old Style" w:hAnsi="Bookman Old Style"/>
          <w:bCs/>
          <w:sz w:val="22"/>
          <w:szCs w:val="22"/>
        </w:rPr>
      </w:pPr>
    </w:p>
    <w:p w:rsidR="006649DC" w:rsidRPr="002955FD" w:rsidRDefault="006649DC" w:rsidP="002955FD">
      <w:pPr>
        <w:autoSpaceDE w:val="0"/>
        <w:autoSpaceDN w:val="0"/>
        <w:adjustRightInd w:val="0"/>
        <w:jc w:val="both"/>
        <w:rPr>
          <w:rFonts w:ascii="Bookman Old Style" w:hAnsi="Bookman Old Style"/>
          <w:bCs/>
          <w:sz w:val="22"/>
          <w:szCs w:val="22"/>
        </w:rPr>
      </w:pPr>
    </w:p>
    <w:p w:rsidR="006649DC" w:rsidRPr="002955FD" w:rsidRDefault="006649DC" w:rsidP="002955FD">
      <w:pPr>
        <w:autoSpaceDE w:val="0"/>
        <w:autoSpaceDN w:val="0"/>
        <w:adjustRightInd w:val="0"/>
        <w:jc w:val="both"/>
        <w:rPr>
          <w:rFonts w:ascii="Bookman Old Style" w:hAnsi="Bookman Old Style"/>
          <w:bCs/>
          <w:sz w:val="22"/>
          <w:szCs w:val="22"/>
        </w:rPr>
      </w:pPr>
    </w:p>
    <w:p w:rsidR="006649DC" w:rsidRPr="002955FD" w:rsidRDefault="006649DC" w:rsidP="002955FD">
      <w:pPr>
        <w:autoSpaceDE w:val="0"/>
        <w:autoSpaceDN w:val="0"/>
        <w:adjustRightInd w:val="0"/>
        <w:jc w:val="both"/>
        <w:rPr>
          <w:rFonts w:ascii="Bookman Old Style" w:hAnsi="Bookman Old Style"/>
          <w:bCs/>
          <w:sz w:val="22"/>
          <w:szCs w:val="22"/>
        </w:rPr>
      </w:pPr>
    </w:p>
    <w:p w:rsidR="006649DC" w:rsidRPr="002955FD" w:rsidRDefault="006649DC" w:rsidP="002955FD">
      <w:pPr>
        <w:autoSpaceDE w:val="0"/>
        <w:autoSpaceDN w:val="0"/>
        <w:adjustRightInd w:val="0"/>
        <w:jc w:val="both"/>
        <w:rPr>
          <w:rFonts w:ascii="Bookman Old Style" w:hAnsi="Bookman Old Style"/>
          <w:bCs/>
          <w:i/>
          <w:iCs/>
          <w:sz w:val="22"/>
          <w:szCs w:val="22"/>
        </w:rPr>
      </w:pPr>
      <w:r w:rsidRPr="002955FD">
        <w:rPr>
          <w:rFonts w:ascii="Bookman Old Style" w:hAnsi="Bookman Old Style"/>
          <w:bCs/>
          <w:i/>
          <w:iCs/>
          <w:sz w:val="22"/>
          <w:szCs w:val="22"/>
        </w:rPr>
        <w:t>Si ricorda che, anche se il tasso viene modificato ogni sei mesi, il suo valore non è semestrale, ma annuale. Va moltiplicato per i giorni di ritardato pagamento nel semestre e per l’importo del credito insoluto, mentre al denominatore vanno sempre indicati 365 giorni, e non 182 o 183.</w:t>
      </w:r>
    </w:p>
    <w:p w:rsidR="006649DC" w:rsidRPr="002955FD" w:rsidRDefault="006649DC" w:rsidP="002955FD">
      <w:pPr>
        <w:autoSpaceDE w:val="0"/>
        <w:autoSpaceDN w:val="0"/>
        <w:adjustRightInd w:val="0"/>
        <w:jc w:val="both"/>
        <w:rPr>
          <w:rFonts w:ascii="Bookman Old Style" w:hAnsi="Bookman Old Style"/>
          <w:bCs/>
          <w:sz w:val="22"/>
          <w:szCs w:val="22"/>
        </w:rPr>
      </w:pPr>
    </w:p>
    <w:p w:rsidR="006649DC" w:rsidRPr="002955FD" w:rsidRDefault="006649DC" w:rsidP="002955FD">
      <w:pPr>
        <w:autoSpaceDE w:val="0"/>
        <w:autoSpaceDN w:val="0"/>
        <w:adjustRightInd w:val="0"/>
        <w:jc w:val="both"/>
        <w:rPr>
          <w:rFonts w:ascii="Bookman Old Style" w:hAnsi="Bookman Old Style"/>
          <w:bCs/>
          <w:sz w:val="22"/>
          <w:szCs w:val="22"/>
        </w:rPr>
      </w:pPr>
    </w:p>
    <w:p w:rsidR="006649DC" w:rsidRPr="002955FD" w:rsidRDefault="006649DC" w:rsidP="002955FD">
      <w:pPr>
        <w:autoSpaceDE w:val="0"/>
        <w:autoSpaceDN w:val="0"/>
        <w:adjustRightInd w:val="0"/>
        <w:jc w:val="both"/>
        <w:rPr>
          <w:rFonts w:ascii="Bookman Old Style" w:hAnsi="Bookman Old Style"/>
          <w:bCs/>
          <w:sz w:val="22"/>
          <w:szCs w:val="22"/>
        </w:rPr>
      </w:pPr>
    </w:p>
    <w:p w:rsidR="006649DC" w:rsidRPr="002955FD" w:rsidRDefault="006649DC" w:rsidP="002955FD">
      <w:pPr>
        <w:autoSpaceDE w:val="0"/>
        <w:autoSpaceDN w:val="0"/>
        <w:adjustRightInd w:val="0"/>
        <w:jc w:val="both"/>
        <w:rPr>
          <w:rFonts w:ascii="Bookman Old Style" w:hAnsi="Bookman Old Style"/>
          <w:bCs/>
          <w:sz w:val="22"/>
          <w:szCs w:val="22"/>
        </w:rPr>
      </w:pPr>
    </w:p>
    <w:p w:rsidR="006649DC" w:rsidRPr="002955FD" w:rsidRDefault="006649DC" w:rsidP="002955FD">
      <w:pPr>
        <w:autoSpaceDE w:val="0"/>
        <w:autoSpaceDN w:val="0"/>
        <w:adjustRightInd w:val="0"/>
        <w:jc w:val="both"/>
        <w:rPr>
          <w:rFonts w:ascii="Bookman Old Style" w:hAnsi="Bookman Old Style"/>
          <w:bCs/>
          <w:sz w:val="22"/>
          <w:szCs w:val="22"/>
        </w:rPr>
      </w:pPr>
    </w:p>
    <w:p w:rsidR="006649DC" w:rsidRPr="002955FD" w:rsidRDefault="006649DC" w:rsidP="002955FD">
      <w:pPr>
        <w:autoSpaceDE w:val="0"/>
        <w:autoSpaceDN w:val="0"/>
        <w:adjustRightInd w:val="0"/>
        <w:jc w:val="both"/>
        <w:rPr>
          <w:rFonts w:ascii="Bookman Old Style" w:hAnsi="Bookman Old Style"/>
          <w:bCs/>
          <w:sz w:val="22"/>
          <w:szCs w:val="22"/>
        </w:rPr>
      </w:pPr>
    </w:p>
    <w:p w:rsidR="006649DC" w:rsidRPr="002955FD" w:rsidRDefault="006649DC" w:rsidP="002955FD">
      <w:pPr>
        <w:autoSpaceDE w:val="0"/>
        <w:autoSpaceDN w:val="0"/>
        <w:adjustRightInd w:val="0"/>
        <w:jc w:val="both"/>
        <w:rPr>
          <w:rFonts w:ascii="Bookman Old Style" w:hAnsi="Bookman Old Style"/>
          <w:bCs/>
          <w:sz w:val="22"/>
          <w:szCs w:val="22"/>
        </w:rPr>
      </w:pPr>
    </w:p>
    <w:p w:rsidR="006649DC" w:rsidRPr="002955FD" w:rsidRDefault="006649DC" w:rsidP="002955FD">
      <w:pPr>
        <w:autoSpaceDE w:val="0"/>
        <w:autoSpaceDN w:val="0"/>
        <w:adjustRightInd w:val="0"/>
        <w:jc w:val="both"/>
        <w:rPr>
          <w:rFonts w:ascii="Bookman Old Style" w:hAnsi="Bookman Old Style"/>
          <w:bCs/>
          <w:sz w:val="22"/>
          <w:szCs w:val="22"/>
        </w:rPr>
      </w:pPr>
    </w:p>
    <w:p w:rsidR="006649DC" w:rsidRPr="002955FD" w:rsidRDefault="006649DC" w:rsidP="002955FD">
      <w:pPr>
        <w:autoSpaceDE w:val="0"/>
        <w:autoSpaceDN w:val="0"/>
        <w:adjustRightInd w:val="0"/>
        <w:jc w:val="both"/>
        <w:rPr>
          <w:rFonts w:ascii="Bookman Old Style" w:hAnsi="Bookman Old Style"/>
          <w:bCs/>
          <w:sz w:val="22"/>
          <w:szCs w:val="22"/>
        </w:rPr>
      </w:pPr>
    </w:p>
    <w:p w:rsidR="006649DC" w:rsidRPr="002955FD" w:rsidRDefault="006649DC" w:rsidP="002955FD">
      <w:pPr>
        <w:autoSpaceDE w:val="0"/>
        <w:autoSpaceDN w:val="0"/>
        <w:adjustRightInd w:val="0"/>
        <w:jc w:val="both"/>
        <w:rPr>
          <w:rFonts w:ascii="Bookman Old Style" w:hAnsi="Bookman Old Style"/>
          <w:bCs/>
          <w:sz w:val="22"/>
          <w:szCs w:val="22"/>
        </w:rPr>
      </w:pPr>
    </w:p>
    <w:p w:rsidR="006649DC" w:rsidRPr="00DE330A" w:rsidRDefault="006649DC" w:rsidP="002955FD">
      <w:pPr>
        <w:pStyle w:val="BodyText20"/>
        <w:spacing w:after="80"/>
        <w:rPr>
          <w:szCs w:val="22"/>
        </w:rPr>
      </w:pPr>
      <w:r w:rsidRPr="00DE330A">
        <w:rPr>
          <w:szCs w:val="22"/>
        </w:rPr>
        <w:t xml:space="preserve">Per il periodo 1 </w:t>
      </w:r>
      <w:r>
        <w:rPr>
          <w:szCs w:val="22"/>
        </w:rPr>
        <w:t>luglio</w:t>
      </w:r>
      <w:r w:rsidRPr="00DE330A">
        <w:rPr>
          <w:szCs w:val="22"/>
        </w:rPr>
        <w:t xml:space="preserve"> – 3</w:t>
      </w:r>
      <w:r>
        <w:rPr>
          <w:szCs w:val="22"/>
        </w:rPr>
        <w:t>1</w:t>
      </w:r>
      <w:r w:rsidRPr="00DE330A">
        <w:rPr>
          <w:szCs w:val="22"/>
        </w:rPr>
        <w:t xml:space="preserve"> </w:t>
      </w:r>
      <w:r>
        <w:rPr>
          <w:szCs w:val="22"/>
        </w:rPr>
        <w:t>dicembre</w:t>
      </w:r>
      <w:r w:rsidRPr="00DE330A">
        <w:rPr>
          <w:szCs w:val="22"/>
        </w:rPr>
        <w:t xml:space="preserve"> 2017, il saggio degli interessi da applicare a favore del creditore nei casi di ritardo nei pagamenti nelle transazioni commerciali è pari allo 0,00% (Comunicato Ministero economia e finanze pubblicato sulla </w:t>
      </w:r>
      <w:r w:rsidRPr="00DE330A">
        <w:rPr>
          <w:color w:val="1A1A1A"/>
          <w:szCs w:val="22"/>
        </w:rPr>
        <w:t>Gazzetta Ufficiale n. 1</w:t>
      </w:r>
      <w:r>
        <w:rPr>
          <w:color w:val="1A1A1A"/>
          <w:szCs w:val="22"/>
        </w:rPr>
        <w:t>71</w:t>
      </w:r>
      <w:r w:rsidRPr="00DE330A">
        <w:rPr>
          <w:color w:val="1A1A1A"/>
          <w:szCs w:val="22"/>
        </w:rPr>
        <w:t xml:space="preserve"> del </w:t>
      </w:r>
      <w:r>
        <w:rPr>
          <w:color w:val="1A1A1A"/>
          <w:szCs w:val="22"/>
        </w:rPr>
        <w:t>24</w:t>
      </w:r>
      <w:r w:rsidRPr="00DE330A">
        <w:rPr>
          <w:color w:val="1A1A1A"/>
          <w:szCs w:val="22"/>
        </w:rPr>
        <w:t xml:space="preserve"> </w:t>
      </w:r>
      <w:r>
        <w:rPr>
          <w:color w:val="1A1A1A"/>
          <w:szCs w:val="22"/>
        </w:rPr>
        <w:t>luglio</w:t>
      </w:r>
      <w:r w:rsidRPr="00DE330A">
        <w:rPr>
          <w:color w:val="1A1A1A"/>
          <w:szCs w:val="22"/>
        </w:rPr>
        <w:t xml:space="preserve"> 2017</w:t>
      </w:r>
      <w:r w:rsidRPr="00DE330A">
        <w:rPr>
          <w:szCs w:val="22"/>
        </w:rPr>
        <w:t>).</w:t>
      </w:r>
    </w:p>
    <w:p w:rsidR="006649DC" w:rsidRDefault="006649DC" w:rsidP="002955FD">
      <w:pPr>
        <w:pStyle w:val="BodyText20"/>
        <w:spacing w:after="80"/>
        <w:rPr>
          <w:szCs w:val="22"/>
        </w:rPr>
      </w:pPr>
      <w:r w:rsidRPr="00DE330A">
        <w:rPr>
          <w:szCs w:val="22"/>
        </w:rPr>
        <w:t>Nella tabella è riportato il saggio, maggiorato, per i prodotti in genere: si ricorda che per i prodotti deteriorabili la maggiorazione era fissata, fino al 2012, del 9%.</w:t>
      </w:r>
    </w:p>
    <w:p w:rsidR="006649DC" w:rsidRPr="002955FD" w:rsidRDefault="006649DC" w:rsidP="002955FD">
      <w:pPr>
        <w:pStyle w:val="BodyText20"/>
        <w:spacing w:after="80"/>
        <w:rPr>
          <w:szCs w:val="22"/>
        </w:rPr>
      </w:pPr>
    </w:p>
    <w:p w:rsidR="006649DC" w:rsidRPr="002955FD" w:rsidRDefault="006649DC" w:rsidP="002955FD">
      <w:pPr>
        <w:pStyle w:val="BodyText20"/>
        <w:spacing w:after="80"/>
        <w:rPr>
          <w:szCs w:val="22"/>
        </w:rPr>
      </w:pPr>
    </w:p>
    <w:p w:rsidR="006649DC" w:rsidRPr="002955FD" w:rsidRDefault="006649DC" w:rsidP="002955FD">
      <w:pPr>
        <w:pStyle w:val="BodyText20"/>
        <w:spacing w:after="80"/>
        <w:rPr>
          <w:szCs w:val="22"/>
        </w:rPr>
      </w:pPr>
    </w:p>
    <w:tbl>
      <w:tblPr>
        <w:tblW w:w="4933" w:type="pct"/>
        <w:jc w:val="center"/>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tblPr>
      <w:tblGrid>
        <w:gridCol w:w="2988"/>
        <w:gridCol w:w="2407"/>
        <w:gridCol w:w="2687"/>
        <w:gridCol w:w="1545"/>
      </w:tblGrid>
      <w:tr w:rsidR="006649DC" w:rsidRPr="002955FD" w:rsidTr="00930B2B">
        <w:trPr>
          <w:tblCellSpacing w:w="15" w:type="dxa"/>
          <w:jc w:val="center"/>
        </w:trPr>
        <w:tc>
          <w:tcPr>
            <w:tcW w:w="0" w:type="auto"/>
            <w:gridSpan w:val="4"/>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b/>
                <w:bCs/>
                <w:sz w:val="22"/>
                <w:szCs w:val="22"/>
              </w:rPr>
              <w:t>Tassi mora ex D.Lgs. 231/2002</w:t>
            </w:r>
          </w:p>
        </w:tc>
      </w:tr>
      <w:tr w:rsidR="006649DC" w:rsidRPr="002955FD" w:rsidTr="00930B2B">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Tahoma"/>
                <w:sz w:val="22"/>
                <w:szCs w:val="22"/>
              </w:rPr>
            </w:pPr>
            <w:r w:rsidRPr="002955FD">
              <w:rPr>
                <w:rFonts w:ascii="Bookman Old Style" w:hAnsi="Bookman Old Style" w:cs="Arial"/>
                <w:b/>
                <w:bCs/>
                <w:sz w:val="22"/>
                <w:szCs w:val="22"/>
              </w:rPr>
              <w:t>Periodo</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b/>
                <w:bCs/>
                <w:sz w:val="22"/>
                <w:szCs w:val="22"/>
              </w:rPr>
              <w:t>Tasso B.C.E. (%)</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b/>
                <w:bCs/>
                <w:sz w:val="22"/>
                <w:szCs w:val="22"/>
              </w:rPr>
              <w:t>Maggiorazione (%)</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b/>
                <w:bCs/>
                <w:sz w:val="22"/>
                <w:szCs w:val="22"/>
              </w:rPr>
              <w:t>Totale (%)</w:t>
            </w:r>
          </w:p>
        </w:tc>
      </w:tr>
      <w:tr w:rsidR="006649DC" w:rsidRPr="002955FD" w:rsidTr="00930B2B">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Tahoma"/>
                <w:sz w:val="22"/>
                <w:szCs w:val="22"/>
              </w:rPr>
            </w:pPr>
            <w:r w:rsidRPr="002955FD">
              <w:rPr>
                <w:rFonts w:ascii="Bookman Old Style" w:hAnsi="Bookman Old Style" w:cs="Arial"/>
                <w:sz w:val="22"/>
                <w:szCs w:val="22"/>
              </w:rPr>
              <w:t>08.08.02 – 31.12.02</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sz w:val="22"/>
                <w:szCs w:val="22"/>
              </w:rPr>
              <w:t>3,35</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sz w:val="22"/>
                <w:szCs w:val="22"/>
              </w:rPr>
              <w:t>7</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bCs/>
                <w:sz w:val="22"/>
                <w:szCs w:val="22"/>
              </w:rPr>
              <w:t>10,35</w:t>
            </w:r>
          </w:p>
        </w:tc>
      </w:tr>
      <w:tr w:rsidR="006649DC" w:rsidRPr="002955FD" w:rsidTr="00930B2B">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Tahoma"/>
                <w:sz w:val="22"/>
                <w:szCs w:val="22"/>
              </w:rPr>
            </w:pPr>
            <w:r w:rsidRPr="002955FD">
              <w:rPr>
                <w:rFonts w:ascii="Bookman Old Style" w:hAnsi="Bookman Old Style" w:cs="Arial"/>
                <w:sz w:val="22"/>
                <w:szCs w:val="22"/>
              </w:rPr>
              <w:t>01.01.03 – 30.06.03</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sz w:val="22"/>
                <w:szCs w:val="22"/>
              </w:rPr>
              <w:t>2,85</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sz w:val="22"/>
                <w:szCs w:val="22"/>
              </w:rPr>
              <w:t>7</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bCs/>
                <w:sz w:val="22"/>
                <w:szCs w:val="22"/>
              </w:rPr>
              <w:t>9,85</w:t>
            </w:r>
          </w:p>
        </w:tc>
      </w:tr>
      <w:tr w:rsidR="006649DC" w:rsidRPr="002955FD" w:rsidTr="00930B2B">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Tahoma"/>
                <w:sz w:val="22"/>
                <w:szCs w:val="22"/>
              </w:rPr>
            </w:pPr>
            <w:r w:rsidRPr="002955FD">
              <w:rPr>
                <w:rFonts w:ascii="Bookman Old Style" w:hAnsi="Bookman Old Style" w:cs="Arial"/>
                <w:sz w:val="22"/>
                <w:szCs w:val="22"/>
              </w:rPr>
              <w:t>01.07.03 – 31.12.03</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sz w:val="22"/>
                <w:szCs w:val="22"/>
              </w:rPr>
              <w:t>2,10</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sz w:val="22"/>
                <w:szCs w:val="22"/>
              </w:rPr>
              <w:t>7</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bCs/>
                <w:sz w:val="22"/>
                <w:szCs w:val="22"/>
              </w:rPr>
              <w:t>9,10</w:t>
            </w:r>
          </w:p>
        </w:tc>
      </w:tr>
      <w:tr w:rsidR="006649DC" w:rsidRPr="002955FD" w:rsidTr="00930B2B">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Tahoma"/>
                <w:sz w:val="22"/>
                <w:szCs w:val="22"/>
              </w:rPr>
            </w:pPr>
            <w:r w:rsidRPr="002955FD">
              <w:rPr>
                <w:rFonts w:ascii="Bookman Old Style" w:hAnsi="Bookman Old Style" w:cs="Arial"/>
                <w:sz w:val="22"/>
                <w:szCs w:val="22"/>
              </w:rPr>
              <w:t>01.01.04 – 30.06.04</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sz w:val="22"/>
                <w:szCs w:val="22"/>
              </w:rPr>
              <w:t>2,02</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sz w:val="22"/>
                <w:szCs w:val="22"/>
              </w:rPr>
              <w:t>7</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bCs/>
                <w:sz w:val="22"/>
                <w:szCs w:val="22"/>
              </w:rPr>
              <w:t>9,02</w:t>
            </w:r>
          </w:p>
        </w:tc>
      </w:tr>
      <w:tr w:rsidR="006649DC" w:rsidRPr="002955FD" w:rsidTr="00930B2B">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Tahoma"/>
                <w:sz w:val="22"/>
                <w:szCs w:val="22"/>
              </w:rPr>
            </w:pPr>
            <w:r w:rsidRPr="002955FD">
              <w:rPr>
                <w:rFonts w:ascii="Bookman Old Style" w:hAnsi="Bookman Old Style" w:cs="Arial"/>
                <w:sz w:val="22"/>
                <w:szCs w:val="22"/>
              </w:rPr>
              <w:t>01.07.04 – 31.12.04</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sz w:val="22"/>
                <w:szCs w:val="22"/>
              </w:rPr>
              <w:t>2,01</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sz w:val="22"/>
                <w:szCs w:val="22"/>
              </w:rPr>
              <w:t>7</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bCs/>
                <w:sz w:val="22"/>
                <w:szCs w:val="22"/>
              </w:rPr>
              <w:t>9,01</w:t>
            </w:r>
          </w:p>
        </w:tc>
      </w:tr>
      <w:tr w:rsidR="006649DC" w:rsidRPr="002955FD" w:rsidTr="00930B2B">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Tahoma"/>
                <w:sz w:val="22"/>
                <w:szCs w:val="22"/>
              </w:rPr>
            </w:pPr>
            <w:r w:rsidRPr="002955FD">
              <w:rPr>
                <w:rFonts w:ascii="Bookman Old Style" w:hAnsi="Bookman Old Style" w:cs="Arial"/>
                <w:sz w:val="22"/>
                <w:szCs w:val="22"/>
              </w:rPr>
              <w:t>01.01.05 – 30.06.05</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sz w:val="22"/>
                <w:szCs w:val="22"/>
              </w:rPr>
              <w:t>2,09</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sz w:val="22"/>
                <w:szCs w:val="22"/>
              </w:rPr>
              <w:t>7</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bCs/>
                <w:sz w:val="22"/>
                <w:szCs w:val="22"/>
              </w:rPr>
              <w:t>9,09</w:t>
            </w:r>
          </w:p>
        </w:tc>
      </w:tr>
      <w:tr w:rsidR="006649DC" w:rsidRPr="002955FD" w:rsidTr="00930B2B">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Tahoma"/>
                <w:sz w:val="22"/>
                <w:szCs w:val="22"/>
              </w:rPr>
            </w:pPr>
            <w:r w:rsidRPr="002955FD">
              <w:rPr>
                <w:rFonts w:ascii="Bookman Old Style" w:hAnsi="Bookman Old Style" w:cs="Arial"/>
                <w:sz w:val="22"/>
                <w:szCs w:val="22"/>
              </w:rPr>
              <w:t>01.07.05 – 31.12.05</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sz w:val="22"/>
                <w:szCs w:val="22"/>
              </w:rPr>
              <w:t>2,05</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sz w:val="22"/>
                <w:szCs w:val="22"/>
              </w:rPr>
              <w:t>7</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bCs/>
                <w:sz w:val="22"/>
                <w:szCs w:val="22"/>
              </w:rPr>
              <w:t>9,05</w:t>
            </w:r>
          </w:p>
        </w:tc>
      </w:tr>
      <w:tr w:rsidR="006649DC" w:rsidRPr="002955FD" w:rsidTr="00930B2B">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Tahoma"/>
                <w:sz w:val="22"/>
                <w:szCs w:val="22"/>
              </w:rPr>
            </w:pPr>
            <w:r w:rsidRPr="002955FD">
              <w:rPr>
                <w:rFonts w:ascii="Bookman Old Style" w:hAnsi="Bookman Old Style" w:cs="Arial"/>
                <w:sz w:val="22"/>
                <w:szCs w:val="22"/>
              </w:rPr>
              <w:t>01.01.06 – 30.06.06</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sz w:val="22"/>
                <w:szCs w:val="22"/>
              </w:rPr>
              <w:t>2,25</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sz w:val="22"/>
                <w:szCs w:val="22"/>
              </w:rPr>
              <w:t>7</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bCs/>
                <w:sz w:val="22"/>
                <w:szCs w:val="22"/>
              </w:rPr>
              <w:t>9,25</w:t>
            </w:r>
          </w:p>
        </w:tc>
      </w:tr>
      <w:tr w:rsidR="006649DC" w:rsidRPr="002955FD" w:rsidTr="00930B2B">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Tahoma"/>
                <w:sz w:val="22"/>
                <w:szCs w:val="22"/>
              </w:rPr>
            </w:pPr>
            <w:r w:rsidRPr="002955FD">
              <w:rPr>
                <w:rFonts w:ascii="Bookman Old Style" w:hAnsi="Bookman Old Style" w:cs="Arial"/>
                <w:sz w:val="22"/>
                <w:szCs w:val="22"/>
              </w:rPr>
              <w:t>01.07.06 – 31.12.06</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sz w:val="22"/>
                <w:szCs w:val="22"/>
              </w:rPr>
              <w:t>2,83</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sz w:val="22"/>
                <w:szCs w:val="22"/>
              </w:rPr>
              <w:t>7</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bCs/>
                <w:sz w:val="22"/>
                <w:szCs w:val="22"/>
              </w:rPr>
              <w:t>9,83</w:t>
            </w:r>
          </w:p>
        </w:tc>
      </w:tr>
      <w:tr w:rsidR="006649DC" w:rsidRPr="002955FD" w:rsidTr="00930B2B">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Tahoma"/>
                <w:sz w:val="22"/>
                <w:szCs w:val="22"/>
              </w:rPr>
            </w:pPr>
            <w:r w:rsidRPr="002955FD">
              <w:rPr>
                <w:rFonts w:ascii="Bookman Old Style" w:hAnsi="Bookman Old Style" w:cs="Arial"/>
                <w:sz w:val="22"/>
                <w:szCs w:val="22"/>
              </w:rPr>
              <w:t>01.01.07 – 30.06.07</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sz w:val="22"/>
                <w:szCs w:val="22"/>
              </w:rPr>
              <w:t>3,58</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sz w:val="22"/>
                <w:szCs w:val="22"/>
              </w:rPr>
              <w:t>7</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bCs/>
                <w:sz w:val="22"/>
                <w:szCs w:val="22"/>
              </w:rPr>
              <w:t>10.58</w:t>
            </w:r>
          </w:p>
        </w:tc>
      </w:tr>
      <w:tr w:rsidR="006649DC" w:rsidRPr="002955FD" w:rsidTr="00930B2B">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Tahoma"/>
                <w:sz w:val="22"/>
                <w:szCs w:val="22"/>
              </w:rPr>
            </w:pPr>
            <w:r w:rsidRPr="002955FD">
              <w:rPr>
                <w:rFonts w:ascii="Bookman Old Style" w:hAnsi="Bookman Old Style" w:cs="Arial"/>
                <w:sz w:val="22"/>
                <w:szCs w:val="22"/>
              </w:rPr>
              <w:t>01.07.07 – 31.12.07</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sz w:val="22"/>
                <w:szCs w:val="22"/>
              </w:rPr>
              <w:t>4,07</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sz w:val="22"/>
                <w:szCs w:val="22"/>
              </w:rPr>
              <w:t>7</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bCs/>
                <w:sz w:val="22"/>
                <w:szCs w:val="22"/>
              </w:rPr>
              <w:t>11.07</w:t>
            </w:r>
          </w:p>
        </w:tc>
      </w:tr>
      <w:tr w:rsidR="006649DC" w:rsidRPr="002955FD" w:rsidTr="00930B2B">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Tahoma"/>
                <w:sz w:val="22"/>
                <w:szCs w:val="22"/>
              </w:rPr>
            </w:pPr>
            <w:r w:rsidRPr="002955FD">
              <w:rPr>
                <w:rFonts w:ascii="Bookman Old Style" w:hAnsi="Bookman Old Style" w:cs="Arial"/>
                <w:sz w:val="22"/>
                <w:szCs w:val="22"/>
              </w:rPr>
              <w:t>01.01.08 – 30.06.08</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sz w:val="22"/>
                <w:szCs w:val="22"/>
              </w:rPr>
              <w:t>4,20</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sz w:val="22"/>
                <w:szCs w:val="22"/>
              </w:rPr>
              <w:t>7</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bCs/>
                <w:sz w:val="22"/>
                <w:szCs w:val="22"/>
              </w:rPr>
              <w:t>11,20</w:t>
            </w:r>
          </w:p>
        </w:tc>
      </w:tr>
      <w:tr w:rsidR="006649DC" w:rsidRPr="002955FD" w:rsidTr="00930B2B">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Tahoma"/>
                <w:sz w:val="22"/>
                <w:szCs w:val="22"/>
              </w:rPr>
            </w:pPr>
            <w:r w:rsidRPr="002955FD">
              <w:rPr>
                <w:rFonts w:ascii="Bookman Old Style" w:hAnsi="Bookman Old Style" w:cs="Arial"/>
                <w:bCs/>
                <w:sz w:val="22"/>
                <w:szCs w:val="22"/>
              </w:rPr>
              <w:t>01.07.08 – 31.12.08</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bCs/>
                <w:sz w:val="22"/>
                <w:szCs w:val="22"/>
              </w:rPr>
              <w:t>4,10</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bCs/>
                <w:sz w:val="22"/>
                <w:szCs w:val="22"/>
              </w:rPr>
              <w:t>7</w:t>
            </w:r>
          </w:p>
        </w:tc>
        <w:tc>
          <w:tcPr>
            <w:tcW w:w="0" w:type="auto"/>
            <w:shd w:val="clear" w:color="auto" w:fill="E0E0E0"/>
            <w:vAlign w:val="center"/>
          </w:tcPr>
          <w:p w:rsidR="006649DC" w:rsidRPr="002955FD" w:rsidRDefault="006649DC" w:rsidP="00551C65">
            <w:pPr>
              <w:jc w:val="center"/>
              <w:rPr>
                <w:rFonts w:ascii="Bookman Old Style" w:hAnsi="Bookman Old Style" w:cs="Tahoma"/>
                <w:sz w:val="22"/>
                <w:szCs w:val="22"/>
              </w:rPr>
            </w:pPr>
            <w:r w:rsidRPr="002955FD">
              <w:rPr>
                <w:rFonts w:ascii="Bookman Old Style" w:hAnsi="Bookman Old Style" w:cs="Arial"/>
                <w:bCs/>
                <w:sz w:val="22"/>
                <w:szCs w:val="22"/>
              </w:rPr>
              <w:t>11,10</w:t>
            </w:r>
          </w:p>
        </w:tc>
      </w:tr>
      <w:tr w:rsidR="006649DC" w:rsidRPr="002955FD" w:rsidTr="00930B2B">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Arial"/>
                <w:bCs/>
                <w:sz w:val="22"/>
                <w:szCs w:val="22"/>
              </w:rPr>
            </w:pPr>
            <w:r w:rsidRPr="002955FD">
              <w:rPr>
                <w:rFonts w:ascii="Bookman Old Style" w:hAnsi="Bookman Old Style" w:cs="Arial"/>
                <w:bCs/>
                <w:sz w:val="22"/>
                <w:szCs w:val="22"/>
              </w:rPr>
              <w:t>01.01.09 – 30.06.09</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2,50</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7</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9,50</w:t>
            </w:r>
          </w:p>
        </w:tc>
      </w:tr>
      <w:tr w:rsidR="006649DC" w:rsidRPr="002955FD" w:rsidTr="00930B2B">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Arial"/>
                <w:bCs/>
                <w:sz w:val="22"/>
                <w:szCs w:val="22"/>
              </w:rPr>
            </w:pPr>
            <w:r w:rsidRPr="002955FD">
              <w:rPr>
                <w:rFonts w:ascii="Bookman Old Style" w:hAnsi="Bookman Old Style" w:cs="Arial"/>
                <w:bCs/>
                <w:sz w:val="22"/>
                <w:szCs w:val="22"/>
              </w:rPr>
              <w:t>01.07.09 – 31.12.09</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1,00</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7</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8,00</w:t>
            </w:r>
          </w:p>
        </w:tc>
      </w:tr>
      <w:tr w:rsidR="006649DC" w:rsidRPr="002955FD" w:rsidTr="00930B2B">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Arial"/>
                <w:sz w:val="22"/>
                <w:szCs w:val="22"/>
              </w:rPr>
            </w:pPr>
            <w:r w:rsidRPr="002955FD">
              <w:rPr>
                <w:rFonts w:ascii="Bookman Old Style" w:hAnsi="Bookman Old Style" w:cs="Arial"/>
                <w:sz w:val="22"/>
                <w:szCs w:val="22"/>
              </w:rPr>
              <w:t>01.01.10 – 30.06.10</w:t>
            </w:r>
          </w:p>
        </w:tc>
        <w:tc>
          <w:tcPr>
            <w:tcW w:w="0" w:type="auto"/>
            <w:shd w:val="clear" w:color="auto" w:fill="E0E0E0"/>
            <w:vAlign w:val="center"/>
          </w:tcPr>
          <w:p w:rsidR="006649DC" w:rsidRPr="002955FD" w:rsidRDefault="006649DC" w:rsidP="00551C65">
            <w:pPr>
              <w:jc w:val="center"/>
              <w:rPr>
                <w:rFonts w:ascii="Bookman Old Style" w:hAnsi="Bookman Old Style" w:cs="Arial"/>
                <w:sz w:val="22"/>
                <w:szCs w:val="22"/>
              </w:rPr>
            </w:pPr>
            <w:r w:rsidRPr="002955FD">
              <w:rPr>
                <w:rFonts w:ascii="Bookman Old Style" w:hAnsi="Bookman Old Style" w:cs="Arial"/>
                <w:sz w:val="22"/>
                <w:szCs w:val="22"/>
              </w:rPr>
              <w:t>1,00</w:t>
            </w:r>
          </w:p>
        </w:tc>
        <w:tc>
          <w:tcPr>
            <w:tcW w:w="0" w:type="auto"/>
            <w:shd w:val="clear" w:color="auto" w:fill="E0E0E0"/>
            <w:vAlign w:val="center"/>
          </w:tcPr>
          <w:p w:rsidR="006649DC" w:rsidRPr="002955FD" w:rsidRDefault="006649DC" w:rsidP="00551C65">
            <w:pPr>
              <w:jc w:val="center"/>
              <w:rPr>
                <w:rFonts w:ascii="Bookman Old Style" w:hAnsi="Bookman Old Style" w:cs="Arial"/>
                <w:sz w:val="22"/>
                <w:szCs w:val="22"/>
              </w:rPr>
            </w:pPr>
            <w:r w:rsidRPr="002955FD">
              <w:rPr>
                <w:rFonts w:ascii="Bookman Old Style" w:hAnsi="Bookman Old Style" w:cs="Arial"/>
                <w:sz w:val="22"/>
                <w:szCs w:val="22"/>
              </w:rPr>
              <w:t>7</w:t>
            </w:r>
          </w:p>
        </w:tc>
        <w:tc>
          <w:tcPr>
            <w:tcW w:w="0" w:type="auto"/>
            <w:shd w:val="clear" w:color="auto" w:fill="E0E0E0"/>
            <w:vAlign w:val="center"/>
          </w:tcPr>
          <w:p w:rsidR="006649DC" w:rsidRPr="002955FD" w:rsidRDefault="006649DC" w:rsidP="00551C65">
            <w:pPr>
              <w:jc w:val="center"/>
              <w:rPr>
                <w:rFonts w:ascii="Bookman Old Style" w:hAnsi="Bookman Old Style" w:cs="Arial"/>
                <w:sz w:val="22"/>
                <w:szCs w:val="22"/>
              </w:rPr>
            </w:pPr>
            <w:r w:rsidRPr="002955FD">
              <w:rPr>
                <w:rFonts w:ascii="Bookman Old Style" w:hAnsi="Bookman Old Style" w:cs="Arial"/>
                <w:sz w:val="22"/>
                <w:szCs w:val="22"/>
              </w:rPr>
              <w:t>8,00</w:t>
            </w:r>
          </w:p>
        </w:tc>
      </w:tr>
      <w:tr w:rsidR="006649DC" w:rsidRPr="002955FD" w:rsidTr="00930B2B">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Arial"/>
                <w:bCs/>
                <w:sz w:val="22"/>
                <w:szCs w:val="22"/>
              </w:rPr>
            </w:pPr>
            <w:r w:rsidRPr="002955FD">
              <w:rPr>
                <w:rFonts w:ascii="Bookman Old Style" w:hAnsi="Bookman Old Style" w:cs="Arial"/>
                <w:bCs/>
                <w:sz w:val="22"/>
                <w:szCs w:val="22"/>
              </w:rPr>
              <w:t>01.07.10 – 31.12.10</w:t>
            </w:r>
          </w:p>
        </w:tc>
        <w:tc>
          <w:tcPr>
            <w:tcW w:w="0" w:type="auto"/>
            <w:shd w:val="clear" w:color="auto" w:fill="E0E0E0"/>
            <w:vAlign w:val="center"/>
          </w:tcPr>
          <w:p w:rsidR="006649DC" w:rsidRPr="002955FD" w:rsidRDefault="006649DC" w:rsidP="00551C65">
            <w:pPr>
              <w:jc w:val="center"/>
              <w:rPr>
                <w:rFonts w:ascii="Bookman Old Style" w:hAnsi="Bookman Old Style" w:cs="Arial"/>
                <w:sz w:val="22"/>
                <w:szCs w:val="22"/>
              </w:rPr>
            </w:pPr>
            <w:r w:rsidRPr="002955FD">
              <w:rPr>
                <w:rFonts w:ascii="Bookman Old Style" w:hAnsi="Bookman Old Style" w:cs="Arial"/>
                <w:bCs/>
                <w:sz w:val="22"/>
                <w:szCs w:val="22"/>
              </w:rPr>
              <w:t>1,00</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7</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8,00</w:t>
            </w:r>
          </w:p>
        </w:tc>
      </w:tr>
      <w:tr w:rsidR="006649DC" w:rsidRPr="002955FD" w:rsidTr="00930B2B">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Arial"/>
                <w:sz w:val="22"/>
                <w:szCs w:val="22"/>
              </w:rPr>
            </w:pPr>
            <w:r w:rsidRPr="002955FD">
              <w:rPr>
                <w:rFonts w:ascii="Bookman Old Style" w:hAnsi="Bookman Old Style" w:cs="Arial"/>
                <w:sz w:val="22"/>
                <w:szCs w:val="22"/>
              </w:rPr>
              <w:t>01.01.11 – 30.06.11</w:t>
            </w:r>
          </w:p>
        </w:tc>
        <w:tc>
          <w:tcPr>
            <w:tcW w:w="0" w:type="auto"/>
            <w:shd w:val="clear" w:color="auto" w:fill="E0E0E0"/>
            <w:vAlign w:val="center"/>
          </w:tcPr>
          <w:p w:rsidR="006649DC" w:rsidRPr="002955FD" w:rsidRDefault="006649DC" w:rsidP="00551C65">
            <w:pPr>
              <w:jc w:val="center"/>
              <w:rPr>
                <w:rFonts w:ascii="Bookman Old Style" w:hAnsi="Bookman Old Style" w:cs="Arial"/>
                <w:sz w:val="22"/>
                <w:szCs w:val="22"/>
              </w:rPr>
            </w:pPr>
            <w:r w:rsidRPr="002955FD">
              <w:rPr>
                <w:rFonts w:ascii="Bookman Old Style" w:hAnsi="Bookman Old Style" w:cs="Arial"/>
                <w:sz w:val="22"/>
                <w:szCs w:val="22"/>
              </w:rPr>
              <w:t>1,00</w:t>
            </w:r>
          </w:p>
        </w:tc>
        <w:tc>
          <w:tcPr>
            <w:tcW w:w="0" w:type="auto"/>
            <w:shd w:val="clear" w:color="auto" w:fill="E0E0E0"/>
            <w:vAlign w:val="center"/>
          </w:tcPr>
          <w:p w:rsidR="006649DC" w:rsidRPr="002955FD" w:rsidRDefault="006649DC" w:rsidP="00551C65">
            <w:pPr>
              <w:jc w:val="center"/>
              <w:rPr>
                <w:rFonts w:ascii="Bookman Old Style" w:hAnsi="Bookman Old Style" w:cs="Arial"/>
                <w:sz w:val="22"/>
                <w:szCs w:val="22"/>
              </w:rPr>
            </w:pPr>
            <w:r w:rsidRPr="002955FD">
              <w:rPr>
                <w:rFonts w:ascii="Bookman Old Style" w:hAnsi="Bookman Old Style" w:cs="Arial"/>
                <w:sz w:val="22"/>
                <w:szCs w:val="22"/>
              </w:rPr>
              <w:t>7</w:t>
            </w:r>
          </w:p>
        </w:tc>
        <w:tc>
          <w:tcPr>
            <w:tcW w:w="0" w:type="auto"/>
            <w:shd w:val="clear" w:color="auto" w:fill="E0E0E0"/>
            <w:vAlign w:val="center"/>
          </w:tcPr>
          <w:p w:rsidR="006649DC" w:rsidRPr="002955FD" w:rsidRDefault="006649DC" w:rsidP="00551C65">
            <w:pPr>
              <w:jc w:val="center"/>
              <w:rPr>
                <w:rFonts w:ascii="Bookman Old Style" w:hAnsi="Bookman Old Style" w:cs="Arial"/>
                <w:sz w:val="22"/>
                <w:szCs w:val="22"/>
              </w:rPr>
            </w:pPr>
            <w:r w:rsidRPr="002955FD">
              <w:rPr>
                <w:rFonts w:ascii="Bookman Old Style" w:hAnsi="Bookman Old Style" w:cs="Arial"/>
                <w:sz w:val="22"/>
                <w:szCs w:val="22"/>
              </w:rPr>
              <w:t>8,00</w:t>
            </w:r>
          </w:p>
        </w:tc>
      </w:tr>
      <w:tr w:rsidR="006649DC" w:rsidRPr="002955FD" w:rsidTr="00AF377C">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Arial"/>
                <w:bCs/>
                <w:sz w:val="22"/>
                <w:szCs w:val="22"/>
              </w:rPr>
            </w:pPr>
            <w:r w:rsidRPr="002955FD">
              <w:rPr>
                <w:rFonts w:ascii="Bookman Old Style" w:hAnsi="Bookman Old Style" w:cs="Arial"/>
                <w:bCs/>
                <w:sz w:val="22"/>
                <w:szCs w:val="22"/>
              </w:rPr>
              <w:t>01.07.11 – 31.12.11</w:t>
            </w:r>
          </w:p>
        </w:tc>
        <w:tc>
          <w:tcPr>
            <w:tcW w:w="0" w:type="auto"/>
            <w:shd w:val="clear" w:color="auto" w:fill="E0E0E0"/>
            <w:vAlign w:val="center"/>
          </w:tcPr>
          <w:p w:rsidR="006649DC" w:rsidRPr="002955FD" w:rsidRDefault="006649DC" w:rsidP="00551C65">
            <w:pPr>
              <w:jc w:val="center"/>
              <w:rPr>
                <w:rFonts w:ascii="Bookman Old Style" w:hAnsi="Bookman Old Style" w:cs="Arial"/>
                <w:sz w:val="22"/>
                <w:szCs w:val="22"/>
              </w:rPr>
            </w:pPr>
            <w:r w:rsidRPr="002955FD">
              <w:rPr>
                <w:rFonts w:ascii="Bookman Old Style" w:hAnsi="Bookman Old Style" w:cs="Arial"/>
                <w:bCs/>
                <w:sz w:val="22"/>
                <w:szCs w:val="22"/>
              </w:rPr>
              <w:t>1,25</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7</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8,25</w:t>
            </w:r>
          </w:p>
        </w:tc>
      </w:tr>
      <w:tr w:rsidR="006649DC" w:rsidRPr="002955FD" w:rsidTr="00391DEA">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Arial"/>
                <w:bCs/>
                <w:sz w:val="22"/>
                <w:szCs w:val="22"/>
              </w:rPr>
            </w:pPr>
            <w:r w:rsidRPr="002955FD">
              <w:rPr>
                <w:rFonts w:ascii="Bookman Old Style" w:hAnsi="Bookman Old Style" w:cs="Arial"/>
                <w:bCs/>
                <w:sz w:val="22"/>
                <w:szCs w:val="22"/>
              </w:rPr>
              <w:t>01.01.12 – 30.06.12</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1,00</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7</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8,00</w:t>
            </w:r>
          </w:p>
        </w:tc>
      </w:tr>
      <w:tr w:rsidR="006649DC" w:rsidRPr="002955FD" w:rsidTr="00391DEA">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Arial"/>
                <w:bCs/>
                <w:sz w:val="22"/>
                <w:szCs w:val="22"/>
              </w:rPr>
            </w:pPr>
            <w:r w:rsidRPr="002955FD">
              <w:rPr>
                <w:rFonts w:ascii="Bookman Old Style" w:hAnsi="Bookman Old Style" w:cs="Arial"/>
                <w:bCs/>
                <w:sz w:val="22"/>
                <w:szCs w:val="22"/>
              </w:rPr>
              <w:t>01.07.12 – 31.12.12</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1,00</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7</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8,00</w:t>
            </w:r>
          </w:p>
        </w:tc>
      </w:tr>
      <w:tr w:rsidR="006649DC" w:rsidRPr="002955FD" w:rsidTr="00391DEA">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Arial"/>
                <w:bCs/>
                <w:sz w:val="22"/>
                <w:szCs w:val="22"/>
              </w:rPr>
            </w:pPr>
            <w:r w:rsidRPr="002955FD">
              <w:rPr>
                <w:rFonts w:ascii="Bookman Old Style" w:hAnsi="Bookman Old Style" w:cs="Arial"/>
                <w:bCs/>
                <w:sz w:val="22"/>
                <w:szCs w:val="22"/>
              </w:rPr>
              <w:t>01.01.13 – 30.06.13</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0,75</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8</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8,75</w:t>
            </w:r>
          </w:p>
        </w:tc>
      </w:tr>
      <w:tr w:rsidR="006649DC" w:rsidRPr="002955FD" w:rsidTr="00391DEA">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Arial"/>
                <w:bCs/>
                <w:sz w:val="22"/>
                <w:szCs w:val="22"/>
              </w:rPr>
            </w:pPr>
            <w:r w:rsidRPr="002955FD">
              <w:rPr>
                <w:rFonts w:ascii="Bookman Old Style" w:hAnsi="Bookman Old Style" w:cs="Arial"/>
                <w:bCs/>
                <w:sz w:val="22"/>
                <w:szCs w:val="22"/>
              </w:rPr>
              <w:t>01.07.13 – 31.12.13</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0,50</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8</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8,50</w:t>
            </w:r>
          </w:p>
        </w:tc>
      </w:tr>
      <w:tr w:rsidR="006649DC" w:rsidRPr="002955FD" w:rsidTr="00391DEA">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Arial"/>
                <w:bCs/>
                <w:sz w:val="22"/>
                <w:szCs w:val="22"/>
              </w:rPr>
            </w:pPr>
            <w:r w:rsidRPr="002955FD">
              <w:rPr>
                <w:rFonts w:ascii="Bookman Old Style" w:hAnsi="Bookman Old Style" w:cs="Arial"/>
                <w:bCs/>
                <w:sz w:val="22"/>
                <w:szCs w:val="22"/>
              </w:rPr>
              <w:t>01.01.14 – 30.06.14</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0,25</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8</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8,25</w:t>
            </w:r>
          </w:p>
        </w:tc>
      </w:tr>
      <w:tr w:rsidR="006649DC" w:rsidRPr="002955FD" w:rsidTr="00FA5E36">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Arial"/>
                <w:bCs/>
                <w:sz w:val="22"/>
                <w:szCs w:val="22"/>
              </w:rPr>
            </w:pPr>
            <w:r w:rsidRPr="002955FD">
              <w:rPr>
                <w:rFonts w:ascii="Bookman Old Style" w:hAnsi="Bookman Old Style" w:cs="Arial"/>
                <w:bCs/>
                <w:sz w:val="22"/>
                <w:szCs w:val="22"/>
              </w:rPr>
              <w:t>01.07.14 – 31.12.14</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0,15</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8</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8,15</w:t>
            </w:r>
          </w:p>
        </w:tc>
      </w:tr>
      <w:tr w:rsidR="006649DC" w:rsidRPr="002955FD" w:rsidTr="00FA5E36">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Arial"/>
                <w:bCs/>
                <w:sz w:val="22"/>
                <w:szCs w:val="22"/>
              </w:rPr>
            </w:pPr>
            <w:r w:rsidRPr="002955FD">
              <w:rPr>
                <w:rFonts w:ascii="Bookman Old Style" w:hAnsi="Bookman Old Style" w:cs="Arial"/>
                <w:bCs/>
                <w:sz w:val="22"/>
                <w:szCs w:val="22"/>
              </w:rPr>
              <w:t>01.01.15 – 30.06.15</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0,05</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8</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8,05</w:t>
            </w:r>
          </w:p>
        </w:tc>
      </w:tr>
      <w:tr w:rsidR="006649DC" w:rsidRPr="002955FD" w:rsidTr="00FA5E36">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Arial"/>
                <w:bCs/>
                <w:sz w:val="22"/>
                <w:szCs w:val="22"/>
              </w:rPr>
            </w:pPr>
            <w:r w:rsidRPr="002955FD">
              <w:rPr>
                <w:rFonts w:ascii="Bookman Old Style" w:hAnsi="Bookman Old Style" w:cs="Arial"/>
                <w:bCs/>
                <w:sz w:val="22"/>
                <w:szCs w:val="22"/>
              </w:rPr>
              <w:t>01.07.15 – 31.12.15</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0,05</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8</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8,05</w:t>
            </w:r>
          </w:p>
        </w:tc>
      </w:tr>
      <w:tr w:rsidR="006649DC" w:rsidRPr="002955FD" w:rsidTr="00FA5E36">
        <w:trPr>
          <w:tblCellSpacing w:w="15" w:type="dxa"/>
          <w:jc w:val="center"/>
        </w:trPr>
        <w:tc>
          <w:tcPr>
            <w:tcW w:w="0" w:type="auto"/>
            <w:shd w:val="clear" w:color="auto" w:fill="E0E0E0"/>
            <w:vAlign w:val="center"/>
          </w:tcPr>
          <w:p w:rsidR="006649DC" w:rsidRPr="002955FD" w:rsidRDefault="006649DC" w:rsidP="002955FD">
            <w:pPr>
              <w:jc w:val="both"/>
              <w:rPr>
                <w:rFonts w:ascii="Bookman Old Style" w:hAnsi="Bookman Old Style" w:cs="Arial"/>
                <w:bCs/>
                <w:sz w:val="22"/>
                <w:szCs w:val="22"/>
              </w:rPr>
            </w:pPr>
            <w:r w:rsidRPr="002955FD">
              <w:rPr>
                <w:rFonts w:ascii="Bookman Old Style" w:hAnsi="Bookman Old Style" w:cs="Arial"/>
                <w:bCs/>
                <w:sz w:val="22"/>
                <w:szCs w:val="22"/>
              </w:rPr>
              <w:t>01.01.16 – 30.06.16</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0,05</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8</w:t>
            </w:r>
          </w:p>
        </w:tc>
        <w:tc>
          <w:tcPr>
            <w:tcW w:w="0" w:type="auto"/>
            <w:shd w:val="clear" w:color="auto" w:fill="E0E0E0"/>
            <w:vAlign w:val="center"/>
          </w:tcPr>
          <w:p w:rsidR="006649DC" w:rsidRPr="002955FD" w:rsidRDefault="006649DC" w:rsidP="00551C65">
            <w:pPr>
              <w:jc w:val="center"/>
              <w:rPr>
                <w:rFonts w:ascii="Bookman Old Style" w:hAnsi="Bookman Old Style" w:cs="Arial"/>
                <w:bCs/>
                <w:sz w:val="22"/>
                <w:szCs w:val="22"/>
              </w:rPr>
            </w:pPr>
            <w:r w:rsidRPr="002955FD">
              <w:rPr>
                <w:rFonts w:ascii="Bookman Old Style" w:hAnsi="Bookman Old Style" w:cs="Arial"/>
                <w:bCs/>
                <w:sz w:val="22"/>
                <w:szCs w:val="22"/>
              </w:rPr>
              <w:t>8,05</w:t>
            </w:r>
          </w:p>
        </w:tc>
      </w:tr>
      <w:tr w:rsidR="006649DC" w:rsidRPr="004A43A1" w:rsidTr="00FA5E36">
        <w:trPr>
          <w:tblCellSpacing w:w="15" w:type="dxa"/>
          <w:jc w:val="center"/>
        </w:trPr>
        <w:tc>
          <w:tcPr>
            <w:tcW w:w="0" w:type="auto"/>
            <w:shd w:val="clear" w:color="auto" w:fill="E0E0E0"/>
            <w:vAlign w:val="center"/>
          </w:tcPr>
          <w:p w:rsidR="006649DC" w:rsidRPr="004A43A1" w:rsidRDefault="006649DC" w:rsidP="002955FD">
            <w:pPr>
              <w:jc w:val="both"/>
              <w:rPr>
                <w:rFonts w:ascii="Bookman Old Style" w:hAnsi="Bookman Old Style" w:cs="Arial"/>
                <w:bCs/>
                <w:sz w:val="22"/>
                <w:szCs w:val="22"/>
              </w:rPr>
            </w:pPr>
            <w:r w:rsidRPr="004A43A1">
              <w:rPr>
                <w:rFonts w:ascii="Bookman Old Style" w:hAnsi="Bookman Old Style" w:cs="Arial"/>
                <w:bCs/>
                <w:sz w:val="22"/>
                <w:szCs w:val="22"/>
              </w:rPr>
              <w:t>01.07.16 – 31.12.16</w:t>
            </w:r>
          </w:p>
        </w:tc>
        <w:tc>
          <w:tcPr>
            <w:tcW w:w="0" w:type="auto"/>
            <w:shd w:val="clear" w:color="auto" w:fill="E0E0E0"/>
            <w:vAlign w:val="center"/>
          </w:tcPr>
          <w:p w:rsidR="006649DC" w:rsidRPr="004A43A1" w:rsidRDefault="006649DC" w:rsidP="00551C65">
            <w:pPr>
              <w:jc w:val="center"/>
              <w:rPr>
                <w:rFonts w:ascii="Bookman Old Style" w:hAnsi="Bookman Old Style" w:cs="Arial"/>
                <w:bCs/>
                <w:sz w:val="22"/>
                <w:szCs w:val="22"/>
              </w:rPr>
            </w:pPr>
            <w:r w:rsidRPr="004A43A1">
              <w:rPr>
                <w:rFonts w:ascii="Bookman Old Style" w:hAnsi="Bookman Old Style" w:cs="Arial"/>
                <w:bCs/>
                <w:sz w:val="22"/>
                <w:szCs w:val="22"/>
              </w:rPr>
              <w:t>0,00</w:t>
            </w:r>
          </w:p>
        </w:tc>
        <w:tc>
          <w:tcPr>
            <w:tcW w:w="0" w:type="auto"/>
            <w:shd w:val="clear" w:color="auto" w:fill="E0E0E0"/>
            <w:vAlign w:val="center"/>
          </w:tcPr>
          <w:p w:rsidR="006649DC" w:rsidRPr="004A43A1" w:rsidRDefault="006649DC" w:rsidP="00551C65">
            <w:pPr>
              <w:jc w:val="center"/>
              <w:rPr>
                <w:rFonts w:ascii="Bookman Old Style" w:hAnsi="Bookman Old Style" w:cs="Arial"/>
                <w:bCs/>
                <w:sz w:val="22"/>
                <w:szCs w:val="22"/>
              </w:rPr>
            </w:pPr>
            <w:r w:rsidRPr="004A43A1">
              <w:rPr>
                <w:rFonts w:ascii="Bookman Old Style" w:hAnsi="Bookman Old Style" w:cs="Arial"/>
                <w:bCs/>
                <w:sz w:val="22"/>
                <w:szCs w:val="22"/>
              </w:rPr>
              <w:t>8</w:t>
            </w:r>
          </w:p>
        </w:tc>
        <w:tc>
          <w:tcPr>
            <w:tcW w:w="0" w:type="auto"/>
            <w:shd w:val="clear" w:color="auto" w:fill="E0E0E0"/>
            <w:vAlign w:val="center"/>
          </w:tcPr>
          <w:p w:rsidR="006649DC" w:rsidRPr="004A43A1" w:rsidRDefault="006649DC" w:rsidP="00551C65">
            <w:pPr>
              <w:jc w:val="center"/>
              <w:rPr>
                <w:rFonts w:ascii="Bookman Old Style" w:hAnsi="Bookman Old Style" w:cs="Arial"/>
                <w:bCs/>
                <w:sz w:val="22"/>
                <w:szCs w:val="22"/>
              </w:rPr>
            </w:pPr>
            <w:r w:rsidRPr="004A43A1">
              <w:rPr>
                <w:rFonts w:ascii="Bookman Old Style" w:hAnsi="Bookman Old Style" w:cs="Arial"/>
                <w:bCs/>
                <w:sz w:val="22"/>
                <w:szCs w:val="22"/>
              </w:rPr>
              <w:t>8,00</w:t>
            </w:r>
          </w:p>
        </w:tc>
      </w:tr>
      <w:tr w:rsidR="006649DC" w:rsidRPr="004A43A1" w:rsidTr="00FA5E36">
        <w:trPr>
          <w:tblCellSpacing w:w="15" w:type="dxa"/>
          <w:jc w:val="center"/>
        </w:trPr>
        <w:tc>
          <w:tcPr>
            <w:tcW w:w="0" w:type="auto"/>
            <w:shd w:val="clear" w:color="auto" w:fill="E0E0E0"/>
            <w:vAlign w:val="center"/>
          </w:tcPr>
          <w:p w:rsidR="006649DC" w:rsidRPr="00DE330A" w:rsidRDefault="006649DC" w:rsidP="00DE330A">
            <w:pPr>
              <w:jc w:val="both"/>
              <w:rPr>
                <w:rFonts w:ascii="Bookman Old Style" w:hAnsi="Bookman Old Style" w:cs="Arial"/>
                <w:bCs/>
                <w:sz w:val="22"/>
                <w:szCs w:val="22"/>
              </w:rPr>
            </w:pPr>
            <w:r w:rsidRPr="00DE330A">
              <w:rPr>
                <w:rFonts w:ascii="Bookman Old Style" w:hAnsi="Bookman Old Style" w:cs="Arial"/>
                <w:bCs/>
                <w:sz w:val="22"/>
                <w:szCs w:val="22"/>
              </w:rPr>
              <w:t>01.01.17 – 30.06.17</w:t>
            </w:r>
          </w:p>
        </w:tc>
        <w:tc>
          <w:tcPr>
            <w:tcW w:w="0" w:type="auto"/>
            <w:shd w:val="clear" w:color="auto" w:fill="E0E0E0"/>
            <w:vAlign w:val="center"/>
          </w:tcPr>
          <w:p w:rsidR="006649DC" w:rsidRPr="00DE330A" w:rsidRDefault="006649DC" w:rsidP="00DE330A">
            <w:pPr>
              <w:jc w:val="center"/>
              <w:rPr>
                <w:rFonts w:ascii="Bookman Old Style" w:hAnsi="Bookman Old Style" w:cs="Arial"/>
                <w:bCs/>
                <w:sz w:val="22"/>
                <w:szCs w:val="22"/>
              </w:rPr>
            </w:pPr>
            <w:r w:rsidRPr="00DE330A">
              <w:rPr>
                <w:rFonts w:ascii="Bookman Old Style" w:hAnsi="Bookman Old Style" w:cs="Arial"/>
                <w:bCs/>
                <w:sz w:val="22"/>
                <w:szCs w:val="22"/>
              </w:rPr>
              <w:t>0,00</w:t>
            </w:r>
          </w:p>
        </w:tc>
        <w:tc>
          <w:tcPr>
            <w:tcW w:w="0" w:type="auto"/>
            <w:shd w:val="clear" w:color="auto" w:fill="E0E0E0"/>
            <w:vAlign w:val="center"/>
          </w:tcPr>
          <w:p w:rsidR="006649DC" w:rsidRPr="00DE330A" w:rsidRDefault="006649DC" w:rsidP="00DE330A">
            <w:pPr>
              <w:jc w:val="center"/>
              <w:rPr>
                <w:rFonts w:ascii="Bookman Old Style" w:hAnsi="Bookman Old Style" w:cs="Arial"/>
                <w:bCs/>
                <w:sz w:val="22"/>
                <w:szCs w:val="22"/>
              </w:rPr>
            </w:pPr>
            <w:r w:rsidRPr="00DE330A">
              <w:rPr>
                <w:rFonts w:ascii="Bookman Old Style" w:hAnsi="Bookman Old Style" w:cs="Arial"/>
                <w:bCs/>
                <w:sz w:val="22"/>
                <w:szCs w:val="22"/>
              </w:rPr>
              <w:t>8</w:t>
            </w:r>
          </w:p>
        </w:tc>
        <w:tc>
          <w:tcPr>
            <w:tcW w:w="0" w:type="auto"/>
            <w:shd w:val="clear" w:color="auto" w:fill="E0E0E0"/>
            <w:vAlign w:val="center"/>
          </w:tcPr>
          <w:p w:rsidR="006649DC" w:rsidRPr="00DE330A" w:rsidRDefault="006649DC" w:rsidP="00DE330A">
            <w:pPr>
              <w:jc w:val="center"/>
              <w:rPr>
                <w:rFonts w:ascii="Bookman Old Style" w:hAnsi="Bookman Old Style" w:cs="Arial"/>
                <w:bCs/>
                <w:sz w:val="22"/>
                <w:szCs w:val="22"/>
              </w:rPr>
            </w:pPr>
            <w:r w:rsidRPr="00DE330A">
              <w:rPr>
                <w:rFonts w:ascii="Bookman Old Style" w:hAnsi="Bookman Old Style" w:cs="Arial"/>
                <w:bCs/>
                <w:sz w:val="22"/>
                <w:szCs w:val="22"/>
              </w:rPr>
              <w:t>8,00</w:t>
            </w:r>
          </w:p>
        </w:tc>
      </w:tr>
      <w:tr w:rsidR="006649DC" w:rsidRPr="008C075E" w:rsidTr="00FA5E36">
        <w:trPr>
          <w:tblCellSpacing w:w="15" w:type="dxa"/>
          <w:jc w:val="center"/>
        </w:trPr>
        <w:tc>
          <w:tcPr>
            <w:tcW w:w="0" w:type="auto"/>
            <w:shd w:val="clear" w:color="auto" w:fill="E0E0E0"/>
            <w:vAlign w:val="center"/>
          </w:tcPr>
          <w:p w:rsidR="006649DC" w:rsidRPr="008C075E" w:rsidRDefault="006649DC" w:rsidP="008C075E">
            <w:pPr>
              <w:jc w:val="both"/>
              <w:rPr>
                <w:rFonts w:ascii="Bookman Old Style" w:hAnsi="Bookman Old Style" w:cs="Arial"/>
                <w:bCs/>
                <w:sz w:val="22"/>
                <w:szCs w:val="22"/>
              </w:rPr>
            </w:pPr>
            <w:r w:rsidRPr="008C075E">
              <w:rPr>
                <w:rFonts w:ascii="Bookman Old Style" w:hAnsi="Bookman Old Style" w:cs="Arial"/>
                <w:bCs/>
                <w:sz w:val="22"/>
                <w:szCs w:val="22"/>
              </w:rPr>
              <w:t>01.07.17 – 31.12.17</w:t>
            </w:r>
          </w:p>
        </w:tc>
        <w:tc>
          <w:tcPr>
            <w:tcW w:w="0" w:type="auto"/>
            <w:shd w:val="clear" w:color="auto" w:fill="E0E0E0"/>
            <w:vAlign w:val="center"/>
          </w:tcPr>
          <w:p w:rsidR="006649DC" w:rsidRPr="008C075E" w:rsidRDefault="006649DC" w:rsidP="008C075E">
            <w:pPr>
              <w:jc w:val="center"/>
              <w:rPr>
                <w:rFonts w:ascii="Bookman Old Style" w:hAnsi="Bookman Old Style" w:cs="Arial"/>
                <w:bCs/>
                <w:sz w:val="22"/>
                <w:szCs w:val="22"/>
              </w:rPr>
            </w:pPr>
            <w:r w:rsidRPr="008C075E">
              <w:rPr>
                <w:rFonts w:ascii="Bookman Old Style" w:hAnsi="Bookman Old Style" w:cs="Arial"/>
                <w:bCs/>
                <w:sz w:val="22"/>
                <w:szCs w:val="22"/>
              </w:rPr>
              <w:t>0,00</w:t>
            </w:r>
          </w:p>
        </w:tc>
        <w:tc>
          <w:tcPr>
            <w:tcW w:w="0" w:type="auto"/>
            <w:shd w:val="clear" w:color="auto" w:fill="E0E0E0"/>
            <w:vAlign w:val="center"/>
          </w:tcPr>
          <w:p w:rsidR="006649DC" w:rsidRPr="008C075E" w:rsidRDefault="006649DC" w:rsidP="008C075E">
            <w:pPr>
              <w:jc w:val="center"/>
              <w:rPr>
                <w:rFonts w:ascii="Bookman Old Style" w:hAnsi="Bookman Old Style" w:cs="Arial"/>
                <w:bCs/>
                <w:sz w:val="22"/>
                <w:szCs w:val="22"/>
              </w:rPr>
            </w:pPr>
            <w:r w:rsidRPr="008C075E">
              <w:rPr>
                <w:rFonts w:ascii="Bookman Old Style" w:hAnsi="Bookman Old Style" w:cs="Arial"/>
                <w:bCs/>
                <w:sz w:val="22"/>
                <w:szCs w:val="22"/>
              </w:rPr>
              <w:t>8</w:t>
            </w:r>
          </w:p>
        </w:tc>
        <w:tc>
          <w:tcPr>
            <w:tcW w:w="0" w:type="auto"/>
            <w:shd w:val="clear" w:color="auto" w:fill="E0E0E0"/>
            <w:vAlign w:val="center"/>
          </w:tcPr>
          <w:p w:rsidR="006649DC" w:rsidRPr="008C075E" w:rsidRDefault="006649DC" w:rsidP="008C075E">
            <w:pPr>
              <w:jc w:val="center"/>
              <w:rPr>
                <w:rFonts w:ascii="Bookman Old Style" w:hAnsi="Bookman Old Style" w:cs="Arial"/>
                <w:bCs/>
                <w:sz w:val="22"/>
                <w:szCs w:val="22"/>
              </w:rPr>
            </w:pPr>
            <w:r w:rsidRPr="008C075E">
              <w:rPr>
                <w:rFonts w:ascii="Bookman Old Style" w:hAnsi="Bookman Old Style" w:cs="Arial"/>
                <w:bCs/>
                <w:sz w:val="22"/>
                <w:szCs w:val="22"/>
              </w:rPr>
              <w:t>8.00</w:t>
            </w:r>
          </w:p>
        </w:tc>
      </w:tr>
      <w:tr w:rsidR="006649DC" w:rsidRPr="004A43A1" w:rsidTr="00FA5E36">
        <w:trPr>
          <w:tblCellSpacing w:w="15" w:type="dxa"/>
          <w:jc w:val="center"/>
        </w:trPr>
        <w:tc>
          <w:tcPr>
            <w:tcW w:w="0" w:type="auto"/>
            <w:shd w:val="clear" w:color="auto" w:fill="E0E0E0"/>
            <w:vAlign w:val="center"/>
          </w:tcPr>
          <w:p w:rsidR="006649DC" w:rsidRPr="008C075E" w:rsidRDefault="006649DC" w:rsidP="008C075E">
            <w:pPr>
              <w:jc w:val="both"/>
              <w:rPr>
                <w:rFonts w:ascii="Bookman Old Style" w:hAnsi="Bookman Old Style" w:cs="Arial"/>
                <w:b/>
                <w:bCs/>
                <w:sz w:val="22"/>
                <w:szCs w:val="22"/>
              </w:rPr>
            </w:pPr>
            <w:r w:rsidRPr="008C075E">
              <w:rPr>
                <w:rFonts w:ascii="Bookman Old Style" w:hAnsi="Bookman Old Style" w:cs="Arial"/>
                <w:b/>
                <w:bCs/>
                <w:sz w:val="22"/>
                <w:szCs w:val="22"/>
              </w:rPr>
              <w:t>01.01.18 – 31.06.1</w:t>
            </w:r>
            <w:r>
              <w:rPr>
                <w:rFonts w:ascii="Bookman Old Style" w:hAnsi="Bookman Old Style" w:cs="Arial"/>
                <w:b/>
                <w:bCs/>
                <w:sz w:val="22"/>
                <w:szCs w:val="22"/>
              </w:rPr>
              <w:t>8</w:t>
            </w:r>
          </w:p>
        </w:tc>
        <w:tc>
          <w:tcPr>
            <w:tcW w:w="0" w:type="auto"/>
            <w:shd w:val="clear" w:color="auto" w:fill="E0E0E0"/>
            <w:vAlign w:val="center"/>
          </w:tcPr>
          <w:p w:rsidR="006649DC" w:rsidRPr="008C075E" w:rsidRDefault="006649DC" w:rsidP="008C075E">
            <w:pPr>
              <w:jc w:val="center"/>
              <w:rPr>
                <w:rFonts w:ascii="Bookman Old Style" w:hAnsi="Bookman Old Style" w:cs="Arial"/>
                <w:b/>
                <w:bCs/>
                <w:sz w:val="22"/>
                <w:szCs w:val="22"/>
              </w:rPr>
            </w:pPr>
            <w:r w:rsidRPr="008C075E">
              <w:rPr>
                <w:rFonts w:ascii="Bookman Old Style" w:hAnsi="Bookman Old Style" w:cs="Arial"/>
                <w:b/>
                <w:bCs/>
                <w:sz w:val="22"/>
                <w:szCs w:val="22"/>
              </w:rPr>
              <w:t>0.00</w:t>
            </w:r>
          </w:p>
        </w:tc>
        <w:tc>
          <w:tcPr>
            <w:tcW w:w="0" w:type="auto"/>
            <w:shd w:val="clear" w:color="auto" w:fill="E0E0E0"/>
            <w:vAlign w:val="center"/>
          </w:tcPr>
          <w:p w:rsidR="006649DC" w:rsidRPr="008C075E" w:rsidRDefault="006649DC" w:rsidP="008C075E">
            <w:pPr>
              <w:jc w:val="center"/>
              <w:rPr>
                <w:rFonts w:ascii="Bookman Old Style" w:hAnsi="Bookman Old Style" w:cs="Arial"/>
                <w:b/>
                <w:bCs/>
                <w:sz w:val="22"/>
                <w:szCs w:val="22"/>
              </w:rPr>
            </w:pPr>
            <w:r w:rsidRPr="008C075E">
              <w:rPr>
                <w:rFonts w:ascii="Bookman Old Style" w:hAnsi="Bookman Old Style" w:cs="Arial"/>
                <w:b/>
                <w:bCs/>
                <w:sz w:val="22"/>
                <w:szCs w:val="22"/>
              </w:rPr>
              <w:t>8</w:t>
            </w:r>
          </w:p>
        </w:tc>
        <w:tc>
          <w:tcPr>
            <w:tcW w:w="0" w:type="auto"/>
            <w:shd w:val="clear" w:color="auto" w:fill="E0E0E0"/>
            <w:vAlign w:val="center"/>
          </w:tcPr>
          <w:p w:rsidR="006649DC" w:rsidRPr="008C075E" w:rsidRDefault="006649DC" w:rsidP="008C075E">
            <w:pPr>
              <w:jc w:val="center"/>
              <w:rPr>
                <w:rFonts w:ascii="Bookman Old Style" w:hAnsi="Bookman Old Style" w:cs="Arial"/>
                <w:b/>
                <w:bCs/>
                <w:sz w:val="22"/>
                <w:szCs w:val="22"/>
              </w:rPr>
            </w:pPr>
            <w:r w:rsidRPr="008C075E">
              <w:rPr>
                <w:rFonts w:ascii="Bookman Old Style" w:hAnsi="Bookman Old Style" w:cs="Arial"/>
                <w:b/>
                <w:bCs/>
                <w:sz w:val="22"/>
                <w:szCs w:val="22"/>
              </w:rPr>
              <w:t>8.00</w:t>
            </w:r>
          </w:p>
        </w:tc>
      </w:tr>
    </w:tbl>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pStyle w:val="Heading2"/>
        <w:jc w:val="both"/>
        <w:rPr>
          <w:rFonts w:ascii="Bookman Old Style" w:hAnsi="Bookman Old Style"/>
          <w:sz w:val="22"/>
          <w:szCs w:val="22"/>
        </w:rPr>
      </w:pPr>
      <w:bookmarkStart w:id="42" w:name="_Toc448485265"/>
      <w:bookmarkStart w:id="43" w:name="_Toc448485389"/>
      <w:bookmarkStart w:id="44" w:name="_Toc448485528"/>
      <w:bookmarkStart w:id="45" w:name="_Toc448485656"/>
      <w:bookmarkStart w:id="46" w:name="_Toc448485781"/>
      <w:bookmarkStart w:id="47" w:name="_Toc448485884"/>
      <w:bookmarkStart w:id="48" w:name="_Toc448494587"/>
      <w:bookmarkStart w:id="49" w:name="_Toc506559946"/>
      <w:r w:rsidRPr="002955FD">
        <w:rPr>
          <w:rFonts w:ascii="Bookman Old Style" w:hAnsi="Bookman Old Style"/>
          <w:sz w:val="22"/>
          <w:szCs w:val="22"/>
        </w:rPr>
        <w:t xml:space="preserve">cambi delle valute estere per il </w:t>
      </w:r>
      <w:r w:rsidRPr="00347EDC">
        <w:rPr>
          <w:rFonts w:ascii="Bookman Old Style" w:hAnsi="Bookman Old Style"/>
          <w:sz w:val="22"/>
          <w:szCs w:val="22"/>
        </w:rPr>
        <w:t>mese di</w:t>
      </w:r>
      <w:bookmarkEnd w:id="42"/>
      <w:bookmarkEnd w:id="43"/>
      <w:bookmarkEnd w:id="44"/>
      <w:bookmarkEnd w:id="45"/>
      <w:bookmarkEnd w:id="46"/>
      <w:bookmarkEnd w:id="47"/>
      <w:bookmarkEnd w:id="48"/>
      <w:r>
        <w:rPr>
          <w:rFonts w:ascii="Bookman Old Style" w:hAnsi="Bookman Old Style"/>
          <w:sz w:val="22"/>
          <w:szCs w:val="22"/>
        </w:rPr>
        <w:t xml:space="preserve"> DICEMBRE</w:t>
      </w:r>
      <w:bookmarkEnd w:id="49"/>
    </w:p>
    <w:p w:rsidR="006649DC" w:rsidRPr="002955FD" w:rsidRDefault="006649DC" w:rsidP="002955FD">
      <w:pPr>
        <w:jc w:val="both"/>
        <w:rPr>
          <w:rFonts w:ascii="Bookman Old Style" w:hAnsi="Bookman Old Style"/>
          <w:bCs/>
          <w:sz w:val="22"/>
          <w:szCs w:val="22"/>
        </w:rPr>
      </w:pPr>
    </w:p>
    <w:p w:rsidR="006649DC" w:rsidRPr="008C075E" w:rsidRDefault="006649DC" w:rsidP="008C075E">
      <w:pPr>
        <w:spacing w:before="100" w:beforeAutospacing="1" w:after="100" w:afterAutospacing="1"/>
        <w:jc w:val="both"/>
        <w:rPr>
          <w:rFonts w:ascii="Bookman Old Style" w:hAnsi="Bookman Old Style"/>
          <w:sz w:val="22"/>
          <w:szCs w:val="22"/>
        </w:rPr>
      </w:pPr>
      <w:r w:rsidRPr="008C075E">
        <w:rPr>
          <w:rStyle w:val="Strong"/>
          <w:rFonts w:ascii="Bookman Old Style" w:hAnsi="Bookman Old Style"/>
          <w:bCs/>
          <w:sz w:val="22"/>
          <w:szCs w:val="22"/>
        </w:rPr>
        <w:t>Provvedimento del 23/01/2018</w:t>
      </w:r>
      <w:r w:rsidRPr="008C075E">
        <w:rPr>
          <w:rFonts w:ascii="Bookman Old Style" w:hAnsi="Bookman Old Style"/>
          <w:sz w:val="22"/>
          <w:szCs w:val="22"/>
        </w:rPr>
        <w:t xml:space="preserve"> </w:t>
      </w:r>
      <w:hyperlink r:id="rId7" w:history="1">
        <w:r w:rsidRPr="008C075E">
          <w:rPr>
            <w:rStyle w:val="Hyperlink"/>
            <w:rFonts w:ascii="Bookman Old Style" w:hAnsi="Bookman Old Style"/>
            <w:color w:val="800080"/>
            <w:sz w:val="22"/>
            <w:szCs w:val="22"/>
            <w:shd w:val="clear" w:color="auto" w:fill="FFFFFF"/>
          </w:rPr>
          <w:t>Accertato il cambio valute del mese di dicembre - pdf</w:t>
        </w:r>
      </w:hyperlink>
      <w:r w:rsidRPr="008C075E">
        <w:rPr>
          <w:rStyle w:val="apple-converted-space"/>
          <w:rFonts w:ascii="Bookman Old Style" w:hAnsi="Bookman Old Style"/>
          <w:color w:val="000000"/>
          <w:sz w:val="22"/>
          <w:szCs w:val="22"/>
          <w:shd w:val="clear" w:color="auto" w:fill="FFFFFF"/>
        </w:rPr>
        <w:t> </w:t>
      </w:r>
      <w:r w:rsidRPr="008C075E">
        <w:rPr>
          <w:rFonts w:ascii="Bookman Old Style" w:hAnsi="Bookman Old Style"/>
          <w:color w:val="000000"/>
          <w:sz w:val="22"/>
          <w:szCs w:val="22"/>
          <w:shd w:val="clear" w:color="auto" w:fill="FFFFFF"/>
        </w:rPr>
        <w:t>-</w:t>
      </w:r>
      <w:r w:rsidRPr="008C075E">
        <w:rPr>
          <w:rStyle w:val="apple-converted-space"/>
          <w:rFonts w:ascii="Bookman Old Style" w:hAnsi="Bookman Old Style"/>
          <w:color w:val="000000"/>
          <w:sz w:val="22"/>
          <w:szCs w:val="22"/>
          <w:shd w:val="clear" w:color="auto" w:fill="FFFFFF"/>
        </w:rPr>
        <w:t> </w:t>
      </w:r>
      <w:r w:rsidRPr="008C075E">
        <w:rPr>
          <w:rFonts w:ascii="Bookman Old Style" w:hAnsi="Bookman Old Style"/>
          <w:iCs/>
          <w:sz w:val="22"/>
          <w:szCs w:val="22"/>
        </w:rPr>
        <w:t>(Pubblicato il 23/01/2018</w:t>
      </w:r>
      <w:r w:rsidRPr="008C075E">
        <w:rPr>
          <w:rFonts w:ascii="Bookman Old Style" w:hAnsi="Bookman Old Style"/>
          <w:sz w:val="22"/>
          <w:szCs w:val="22"/>
        </w:rPr>
        <w:t xml:space="preserve"> ai sensi dell'articolo 1, comma 361, della legge 24 dicembre 2007, n° 244) </w:t>
      </w:r>
    </w:p>
    <w:p w:rsidR="006649DC" w:rsidRPr="002955FD"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Cs/>
          <w:sz w:val="22"/>
          <w:szCs w:val="22"/>
        </w:rPr>
      </w:pPr>
      <w:r w:rsidRPr="002955FD">
        <w:rPr>
          <w:rFonts w:ascii="Bookman Old Style" w:hAnsi="Bookman Old Style"/>
          <w:bCs/>
          <w:sz w:val="22"/>
          <w:szCs w:val="22"/>
        </w:rPr>
        <w:t xml:space="preserve">Riportiamo di seguito, i cambi delle principali valute estere per il mese di </w:t>
      </w:r>
      <w:r>
        <w:rPr>
          <w:rFonts w:ascii="Bookman Old Style" w:hAnsi="Bookman Old Style"/>
          <w:bCs/>
          <w:sz w:val="22"/>
          <w:szCs w:val="22"/>
        </w:rPr>
        <w:t xml:space="preserve">dicembre </w:t>
      </w:r>
      <w:r w:rsidRPr="002955FD">
        <w:rPr>
          <w:rFonts w:ascii="Bookman Old Style" w:hAnsi="Bookman Old Style"/>
          <w:bCs/>
          <w:sz w:val="22"/>
          <w:szCs w:val="22"/>
        </w:rPr>
        <w:t>201</w:t>
      </w:r>
      <w:r>
        <w:rPr>
          <w:rFonts w:ascii="Bookman Old Style" w:hAnsi="Bookman Old Style"/>
          <w:bCs/>
          <w:sz w:val="22"/>
          <w:szCs w:val="22"/>
        </w:rPr>
        <w:t>7</w:t>
      </w:r>
      <w:r w:rsidRPr="002955FD">
        <w:rPr>
          <w:rFonts w:ascii="Bookman Old Style" w:hAnsi="Bookman Old Style"/>
          <w:bCs/>
          <w:sz w:val="22"/>
          <w:szCs w:val="22"/>
        </w:rPr>
        <w:t>, ai sensi dell'art. 110, comma 9, D.P.R. n. 917/1986, come sopra accertati:</w:t>
      </w:r>
    </w:p>
    <w:p w:rsidR="006649DC" w:rsidRPr="002955FD" w:rsidRDefault="006649DC" w:rsidP="002955FD">
      <w:pPr>
        <w:jc w:val="both"/>
        <w:rPr>
          <w:rFonts w:ascii="Bookman Old Style" w:hAnsi="Bookman Old Style"/>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38"/>
        <w:gridCol w:w="2467"/>
        <w:gridCol w:w="1670"/>
        <w:gridCol w:w="1806"/>
        <w:gridCol w:w="1747"/>
      </w:tblGrid>
      <w:tr w:rsidR="006649DC" w:rsidRPr="002955FD" w:rsidTr="00680AF8">
        <w:tc>
          <w:tcPr>
            <w:tcW w:w="1938" w:type="dxa"/>
            <w:vAlign w:val="center"/>
          </w:tcPr>
          <w:p w:rsidR="006649DC" w:rsidRPr="002955FD" w:rsidRDefault="006649DC" w:rsidP="00551C65">
            <w:pPr>
              <w:jc w:val="center"/>
              <w:rPr>
                <w:rFonts w:ascii="Bookman Old Style" w:hAnsi="Bookman Old Style"/>
                <w:b/>
                <w:sz w:val="22"/>
                <w:szCs w:val="22"/>
              </w:rPr>
            </w:pPr>
            <w:r w:rsidRPr="002955FD">
              <w:rPr>
                <w:rFonts w:ascii="Bookman Old Style" w:hAnsi="Bookman Old Style"/>
                <w:b/>
                <w:sz w:val="22"/>
                <w:szCs w:val="22"/>
              </w:rPr>
              <w:t>Paese</w:t>
            </w:r>
          </w:p>
        </w:tc>
        <w:tc>
          <w:tcPr>
            <w:tcW w:w="2467" w:type="dxa"/>
            <w:vAlign w:val="center"/>
          </w:tcPr>
          <w:p w:rsidR="006649DC" w:rsidRPr="002955FD" w:rsidRDefault="006649DC" w:rsidP="00551C65">
            <w:pPr>
              <w:jc w:val="center"/>
              <w:rPr>
                <w:rFonts w:ascii="Bookman Old Style" w:hAnsi="Bookman Old Style"/>
                <w:b/>
                <w:sz w:val="22"/>
                <w:szCs w:val="22"/>
              </w:rPr>
            </w:pPr>
            <w:r w:rsidRPr="002955FD">
              <w:rPr>
                <w:rFonts w:ascii="Bookman Old Style" w:hAnsi="Bookman Old Style"/>
                <w:b/>
                <w:sz w:val="22"/>
                <w:szCs w:val="22"/>
              </w:rPr>
              <w:t>Valuta</w:t>
            </w:r>
          </w:p>
        </w:tc>
        <w:tc>
          <w:tcPr>
            <w:tcW w:w="1670" w:type="dxa"/>
            <w:vAlign w:val="center"/>
          </w:tcPr>
          <w:p w:rsidR="006649DC" w:rsidRPr="002955FD" w:rsidRDefault="006649DC" w:rsidP="00551C65">
            <w:pPr>
              <w:jc w:val="center"/>
              <w:rPr>
                <w:rFonts w:ascii="Bookman Old Style" w:hAnsi="Bookman Old Style"/>
                <w:b/>
                <w:sz w:val="22"/>
                <w:szCs w:val="22"/>
              </w:rPr>
            </w:pPr>
            <w:r w:rsidRPr="002955FD">
              <w:rPr>
                <w:rFonts w:ascii="Bookman Old Style" w:hAnsi="Bookman Old Style"/>
                <w:b/>
                <w:sz w:val="22"/>
                <w:szCs w:val="22"/>
              </w:rPr>
              <w:t>Codice UIC</w:t>
            </w:r>
          </w:p>
        </w:tc>
        <w:tc>
          <w:tcPr>
            <w:tcW w:w="1806" w:type="dxa"/>
            <w:vAlign w:val="center"/>
          </w:tcPr>
          <w:p w:rsidR="006649DC" w:rsidRPr="002955FD" w:rsidRDefault="006649DC" w:rsidP="00551C65">
            <w:pPr>
              <w:jc w:val="center"/>
              <w:rPr>
                <w:rFonts w:ascii="Bookman Old Style" w:hAnsi="Bookman Old Style"/>
                <w:b/>
                <w:sz w:val="22"/>
                <w:szCs w:val="22"/>
              </w:rPr>
            </w:pPr>
            <w:r w:rsidRPr="002955FD">
              <w:rPr>
                <w:rFonts w:ascii="Bookman Old Style" w:hAnsi="Bookman Old Style"/>
                <w:b/>
                <w:sz w:val="22"/>
                <w:szCs w:val="22"/>
              </w:rPr>
              <w:t>Codice ISO</w:t>
            </w:r>
          </w:p>
        </w:tc>
        <w:tc>
          <w:tcPr>
            <w:tcW w:w="1747" w:type="dxa"/>
            <w:vAlign w:val="center"/>
          </w:tcPr>
          <w:p w:rsidR="006649DC" w:rsidRPr="002955FD" w:rsidRDefault="006649DC" w:rsidP="00551C65">
            <w:pPr>
              <w:jc w:val="center"/>
              <w:rPr>
                <w:rFonts w:ascii="Bookman Old Style" w:hAnsi="Bookman Old Style"/>
                <w:b/>
                <w:sz w:val="22"/>
                <w:szCs w:val="22"/>
              </w:rPr>
            </w:pPr>
            <w:r w:rsidRPr="002955FD">
              <w:rPr>
                <w:rFonts w:ascii="Bookman Old Style" w:hAnsi="Bookman Old Style"/>
                <w:b/>
                <w:sz w:val="22"/>
                <w:szCs w:val="22"/>
              </w:rPr>
              <w:t>Quantità di valuta estera per 1 euro</w:t>
            </w:r>
          </w:p>
        </w:tc>
      </w:tr>
      <w:tr w:rsidR="006649DC" w:rsidRPr="002E64E6" w:rsidTr="007D4984">
        <w:trPr>
          <w:trHeight w:val="448"/>
        </w:trPr>
        <w:tc>
          <w:tcPr>
            <w:tcW w:w="1938" w:type="dxa"/>
            <w:vAlign w:val="center"/>
          </w:tcPr>
          <w:p w:rsidR="006649DC" w:rsidRPr="002E64E6" w:rsidRDefault="006649DC" w:rsidP="00680AF8">
            <w:pPr>
              <w:jc w:val="center"/>
              <w:rPr>
                <w:rFonts w:ascii="Bookman Old Style" w:hAnsi="Bookman Old Style" w:cs="Courier New"/>
                <w:sz w:val="22"/>
                <w:szCs w:val="22"/>
              </w:rPr>
            </w:pPr>
            <w:r w:rsidRPr="002955FD">
              <w:rPr>
                <w:rFonts w:ascii="Bookman Old Style" w:hAnsi="Bookman Old Style" w:cs="Courier New"/>
                <w:sz w:val="22"/>
                <w:szCs w:val="22"/>
              </w:rPr>
              <w:t>AUSTRALIA</w:t>
            </w:r>
          </w:p>
        </w:tc>
        <w:tc>
          <w:tcPr>
            <w:tcW w:w="2467" w:type="dxa"/>
            <w:vAlign w:val="center"/>
          </w:tcPr>
          <w:p w:rsidR="006649DC" w:rsidRPr="002E64E6" w:rsidRDefault="006649DC" w:rsidP="00680AF8">
            <w:pPr>
              <w:jc w:val="center"/>
              <w:rPr>
                <w:rFonts w:ascii="Bookman Old Style" w:hAnsi="Bookman Old Style" w:cs="Courier New"/>
                <w:sz w:val="22"/>
                <w:szCs w:val="22"/>
              </w:rPr>
            </w:pPr>
            <w:r w:rsidRPr="002955FD">
              <w:rPr>
                <w:rFonts w:ascii="Bookman Old Style" w:hAnsi="Bookman Old Style" w:cs="Courier New"/>
                <w:sz w:val="22"/>
                <w:szCs w:val="22"/>
              </w:rPr>
              <w:t>Dollaro Australiano</w:t>
            </w:r>
          </w:p>
        </w:tc>
        <w:tc>
          <w:tcPr>
            <w:tcW w:w="1670" w:type="dxa"/>
            <w:vAlign w:val="center"/>
          </w:tcPr>
          <w:p w:rsidR="006649DC" w:rsidRPr="002E64E6" w:rsidRDefault="006649DC" w:rsidP="00680AF8">
            <w:pPr>
              <w:jc w:val="center"/>
              <w:rPr>
                <w:rFonts w:ascii="Bookman Old Style" w:hAnsi="Bookman Old Style" w:cs="Courier New"/>
                <w:sz w:val="22"/>
                <w:szCs w:val="22"/>
              </w:rPr>
            </w:pPr>
            <w:r w:rsidRPr="002955FD">
              <w:rPr>
                <w:rFonts w:ascii="Bookman Old Style" w:hAnsi="Bookman Old Style" w:cs="Courier New"/>
                <w:sz w:val="22"/>
                <w:szCs w:val="22"/>
              </w:rPr>
              <w:t>AUD</w:t>
            </w:r>
          </w:p>
        </w:tc>
        <w:tc>
          <w:tcPr>
            <w:tcW w:w="1806" w:type="dxa"/>
            <w:vAlign w:val="center"/>
          </w:tcPr>
          <w:p w:rsidR="006649DC" w:rsidRPr="00680AF8" w:rsidRDefault="006649DC" w:rsidP="007D4984">
            <w:pPr>
              <w:jc w:val="center"/>
              <w:rPr>
                <w:rFonts w:ascii="Bookman Old Style" w:hAnsi="Bookman Old Style" w:cs="Courier New"/>
                <w:sz w:val="22"/>
                <w:szCs w:val="22"/>
              </w:rPr>
            </w:pPr>
            <w:r w:rsidRPr="00680AF8">
              <w:rPr>
                <w:rFonts w:ascii="Bookman Old Style" w:hAnsi="Bookman Old Style" w:cs="Courier New"/>
                <w:sz w:val="22"/>
                <w:szCs w:val="22"/>
              </w:rPr>
              <w:t>109</w:t>
            </w:r>
          </w:p>
        </w:tc>
        <w:tc>
          <w:tcPr>
            <w:tcW w:w="1747" w:type="dxa"/>
            <w:vAlign w:val="center"/>
          </w:tcPr>
          <w:p w:rsidR="006649DC" w:rsidRPr="00680AF8" w:rsidRDefault="006649DC" w:rsidP="007D4984">
            <w:pPr>
              <w:jc w:val="center"/>
              <w:rPr>
                <w:rFonts w:ascii="Bookman Old Style" w:hAnsi="Bookman Old Style" w:cs="Courier New"/>
                <w:sz w:val="22"/>
                <w:szCs w:val="22"/>
              </w:rPr>
            </w:pPr>
            <w:r>
              <w:rPr>
                <w:rFonts w:ascii="Bookman Old Style" w:hAnsi="Bookman Old Style" w:cs="Courier New"/>
                <w:sz w:val="22"/>
                <w:szCs w:val="22"/>
              </w:rPr>
              <w:t>15.486</w:t>
            </w:r>
          </w:p>
        </w:tc>
      </w:tr>
      <w:tr w:rsidR="006649DC" w:rsidRPr="002E64E6" w:rsidTr="007D4984">
        <w:trPr>
          <w:trHeight w:val="448"/>
        </w:trPr>
        <w:tc>
          <w:tcPr>
            <w:tcW w:w="1938" w:type="dxa"/>
            <w:vAlign w:val="center"/>
          </w:tcPr>
          <w:p w:rsidR="006649DC" w:rsidRPr="002955FD" w:rsidRDefault="006649DC" w:rsidP="00680AF8">
            <w:pPr>
              <w:jc w:val="center"/>
              <w:rPr>
                <w:rFonts w:ascii="Bookman Old Style" w:hAnsi="Bookman Old Style" w:cs="Courier New"/>
                <w:sz w:val="22"/>
                <w:szCs w:val="22"/>
              </w:rPr>
            </w:pPr>
            <w:r w:rsidRPr="002955FD">
              <w:rPr>
                <w:rFonts w:ascii="Bookman Old Style" w:hAnsi="Bookman Old Style" w:cs="Courier New"/>
                <w:sz w:val="22"/>
                <w:szCs w:val="22"/>
              </w:rPr>
              <w:t>BRASILE</w:t>
            </w:r>
          </w:p>
        </w:tc>
        <w:tc>
          <w:tcPr>
            <w:tcW w:w="2467" w:type="dxa"/>
            <w:vAlign w:val="center"/>
          </w:tcPr>
          <w:p w:rsidR="006649DC" w:rsidRPr="002955FD" w:rsidRDefault="006649DC" w:rsidP="00680AF8">
            <w:pPr>
              <w:jc w:val="center"/>
              <w:rPr>
                <w:rFonts w:ascii="Bookman Old Style" w:hAnsi="Bookman Old Style" w:cs="Courier New"/>
                <w:sz w:val="22"/>
                <w:szCs w:val="22"/>
              </w:rPr>
            </w:pPr>
            <w:r w:rsidRPr="002955FD">
              <w:rPr>
                <w:rFonts w:ascii="Bookman Old Style" w:hAnsi="Bookman Old Style" w:cs="Courier New"/>
                <w:sz w:val="22"/>
                <w:szCs w:val="22"/>
              </w:rPr>
              <w:t>Real</w:t>
            </w:r>
          </w:p>
        </w:tc>
        <w:tc>
          <w:tcPr>
            <w:tcW w:w="1670" w:type="dxa"/>
            <w:vAlign w:val="center"/>
          </w:tcPr>
          <w:p w:rsidR="006649DC" w:rsidRPr="002955FD" w:rsidRDefault="006649DC" w:rsidP="00680AF8">
            <w:pPr>
              <w:jc w:val="center"/>
              <w:rPr>
                <w:rFonts w:ascii="Bookman Old Style" w:hAnsi="Bookman Old Style" w:cs="Courier New"/>
                <w:sz w:val="22"/>
                <w:szCs w:val="22"/>
              </w:rPr>
            </w:pPr>
            <w:r w:rsidRPr="002955FD">
              <w:rPr>
                <w:rFonts w:ascii="Bookman Old Style" w:hAnsi="Bookman Old Style" w:cs="Courier New"/>
                <w:sz w:val="22"/>
                <w:szCs w:val="22"/>
              </w:rPr>
              <w:t>BRL</w:t>
            </w:r>
          </w:p>
        </w:tc>
        <w:tc>
          <w:tcPr>
            <w:tcW w:w="1806" w:type="dxa"/>
            <w:vAlign w:val="center"/>
          </w:tcPr>
          <w:p w:rsidR="006649DC" w:rsidRPr="00680AF8" w:rsidRDefault="006649DC" w:rsidP="007D4984">
            <w:pPr>
              <w:jc w:val="center"/>
              <w:rPr>
                <w:rFonts w:ascii="Bookman Old Style" w:hAnsi="Bookman Old Style" w:cs="Courier New"/>
                <w:sz w:val="22"/>
                <w:szCs w:val="22"/>
              </w:rPr>
            </w:pPr>
            <w:r w:rsidRPr="00680AF8">
              <w:rPr>
                <w:rFonts w:ascii="Bookman Old Style" w:hAnsi="Bookman Old Style" w:cs="Courier New"/>
                <w:sz w:val="22"/>
                <w:szCs w:val="22"/>
              </w:rPr>
              <w:t>234</w:t>
            </w:r>
          </w:p>
        </w:tc>
        <w:tc>
          <w:tcPr>
            <w:tcW w:w="1747" w:type="dxa"/>
            <w:vAlign w:val="center"/>
          </w:tcPr>
          <w:p w:rsidR="006649DC" w:rsidRPr="00680AF8" w:rsidRDefault="006649DC" w:rsidP="007D4984">
            <w:pPr>
              <w:jc w:val="center"/>
              <w:rPr>
                <w:rFonts w:ascii="Bookman Old Style" w:hAnsi="Bookman Old Style" w:cs="Courier New"/>
                <w:sz w:val="22"/>
                <w:szCs w:val="22"/>
              </w:rPr>
            </w:pPr>
            <w:r>
              <w:rPr>
                <w:rFonts w:ascii="Bookman Old Style" w:hAnsi="Bookman Old Style" w:cs="Courier New"/>
                <w:sz w:val="22"/>
                <w:szCs w:val="22"/>
              </w:rPr>
              <w:t>38.941</w:t>
            </w:r>
          </w:p>
        </w:tc>
      </w:tr>
      <w:tr w:rsidR="006649DC" w:rsidRPr="002E64E6" w:rsidTr="007D4984">
        <w:trPr>
          <w:trHeight w:val="426"/>
        </w:trPr>
        <w:tc>
          <w:tcPr>
            <w:tcW w:w="1938" w:type="dxa"/>
            <w:vAlign w:val="center"/>
          </w:tcPr>
          <w:p w:rsidR="006649DC" w:rsidRPr="002E64E6" w:rsidRDefault="006649DC" w:rsidP="002E64E6">
            <w:pPr>
              <w:jc w:val="center"/>
              <w:rPr>
                <w:rFonts w:ascii="Bookman Old Style" w:hAnsi="Bookman Old Style" w:cs="Courier New"/>
                <w:sz w:val="22"/>
                <w:szCs w:val="22"/>
              </w:rPr>
            </w:pPr>
            <w:r w:rsidRPr="002955FD">
              <w:rPr>
                <w:rFonts w:ascii="Bookman Old Style" w:hAnsi="Bookman Old Style" w:cs="Courier New"/>
                <w:sz w:val="22"/>
                <w:szCs w:val="22"/>
              </w:rPr>
              <w:t>CANADA</w:t>
            </w:r>
          </w:p>
        </w:tc>
        <w:tc>
          <w:tcPr>
            <w:tcW w:w="2467" w:type="dxa"/>
            <w:vAlign w:val="center"/>
          </w:tcPr>
          <w:p w:rsidR="006649DC" w:rsidRPr="002E64E6" w:rsidRDefault="006649DC" w:rsidP="002E64E6">
            <w:pPr>
              <w:jc w:val="center"/>
              <w:rPr>
                <w:rFonts w:ascii="Bookman Old Style" w:hAnsi="Bookman Old Style" w:cs="Courier New"/>
                <w:sz w:val="22"/>
                <w:szCs w:val="22"/>
              </w:rPr>
            </w:pPr>
            <w:r w:rsidRPr="002955FD">
              <w:rPr>
                <w:rFonts w:ascii="Bookman Old Style" w:hAnsi="Bookman Old Style" w:cs="Courier New"/>
                <w:sz w:val="22"/>
                <w:szCs w:val="22"/>
              </w:rPr>
              <w:t>Dollaro Canadese</w:t>
            </w:r>
          </w:p>
        </w:tc>
        <w:tc>
          <w:tcPr>
            <w:tcW w:w="1670" w:type="dxa"/>
            <w:vAlign w:val="center"/>
          </w:tcPr>
          <w:p w:rsidR="006649DC" w:rsidRPr="002E64E6" w:rsidRDefault="006649DC" w:rsidP="00551C65">
            <w:pPr>
              <w:jc w:val="center"/>
              <w:rPr>
                <w:rFonts w:ascii="Bookman Old Style" w:hAnsi="Bookman Old Style" w:cs="Courier New"/>
                <w:sz w:val="22"/>
                <w:szCs w:val="22"/>
              </w:rPr>
            </w:pPr>
            <w:r w:rsidRPr="002955FD">
              <w:rPr>
                <w:rFonts w:ascii="Bookman Old Style" w:hAnsi="Bookman Old Style" w:cs="Courier New"/>
                <w:sz w:val="22"/>
                <w:szCs w:val="22"/>
              </w:rPr>
              <w:t>CAD</w:t>
            </w:r>
          </w:p>
        </w:tc>
        <w:tc>
          <w:tcPr>
            <w:tcW w:w="1806" w:type="dxa"/>
            <w:vAlign w:val="center"/>
          </w:tcPr>
          <w:p w:rsidR="006649DC" w:rsidRPr="00680AF8" w:rsidRDefault="006649DC" w:rsidP="007D4984">
            <w:pPr>
              <w:jc w:val="center"/>
              <w:rPr>
                <w:rFonts w:ascii="Bookman Old Style" w:hAnsi="Bookman Old Style" w:cs="Courier New"/>
                <w:sz w:val="22"/>
                <w:szCs w:val="22"/>
              </w:rPr>
            </w:pPr>
            <w:r w:rsidRPr="002955FD">
              <w:rPr>
                <w:rFonts w:ascii="Bookman Old Style" w:hAnsi="Bookman Old Style" w:cs="Courier New"/>
                <w:sz w:val="22"/>
                <w:szCs w:val="22"/>
              </w:rPr>
              <w:t>012</w:t>
            </w:r>
          </w:p>
        </w:tc>
        <w:tc>
          <w:tcPr>
            <w:tcW w:w="1747" w:type="dxa"/>
            <w:vAlign w:val="center"/>
          </w:tcPr>
          <w:p w:rsidR="006649DC" w:rsidRPr="004C7710" w:rsidRDefault="006649DC" w:rsidP="007D4984">
            <w:pPr>
              <w:jc w:val="center"/>
              <w:rPr>
                <w:rFonts w:ascii="Bookman Old Style" w:hAnsi="Bookman Old Style" w:cs="Courier New"/>
                <w:sz w:val="22"/>
                <w:szCs w:val="22"/>
              </w:rPr>
            </w:pPr>
            <w:r>
              <w:rPr>
                <w:rFonts w:ascii="Bookman Old Style" w:hAnsi="Bookman Old Style" w:cs="Courier New"/>
                <w:sz w:val="22"/>
                <w:szCs w:val="22"/>
              </w:rPr>
              <w:t>15.108</w:t>
            </w:r>
          </w:p>
        </w:tc>
      </w:tr>
      <w:tr w:rsidR="006649DC" w:rsidRPr="002E64E6" w:rsidTr="007D4984">
        <w:trPr>
          <w:trHeight w:val="426"/>
        </w:trPr>
        <w:tc>
          <w:tcPr>
            <w:tcW w:w="1938" w:type="dxa"/>
            <w:vAlign w:val="center"/>
          </w:tcPr>
          <w:p w:rsidR="006649DC" w:rsidRPr="002955FD" w:rsidRDefault="006649DC" w:rsidP="002E64E6">
            <w:pPr>
              <w:jc w:val="center"/>
              <w:rPr>
                <w:rFonts w:ascii="Bookman Old Style" w:hAnsi="Bookman Old Style" w:cs="Courier New"/>
                <w:sz w:val="22"/>
                <w:szCs w:val="22"/>
              </w:rPr>
            </w:pPr>
            <w:r w:rsidRPr="002955FD">
              <w:rPr>
                <w:rFonts w:ascii="Bookman Old Style" w:hAnsi="Bookman Old Style" w:cs="Courier New"/>
                <w:sz w:val="22"/>
                <w:szCs w:val="22"/>
              </w:rPr>
              <w:t>CINA</w:t>
            </w:r>
          </w:p>
        </w:tc>
        <w:tc>
          <w:tcPr>
            <w:tcW w:w="2467" w:type="dxa"/>
            <w:vAlign w:val="center"/>
          </w:tcPr>
          <w:p w:rsidR="006649DC" w:rsidRPr="002955FD" w:rsidRDefault="006649DC" w:rsidP="002E64E6">
            <w:pPr>
              <w:jc w:val="center"/>
              <w:rPr>
                <w:rFonts w:ascii="Bookman Old Style" w:hAnsi="Bookman Old Style" w:cs="Courier New"/>
                <w:sz w:val="22"/>
                <w:szCs w:val="22"/>
              </w:rPr>
            </w:pPr>
            <w:r w:rsidRPr="002955FD">
              <w:rPr>
                <w:rFonts w:ascii="Bookman Old Style" w:hAnsi="Bookman Old Style" w:cs="Courier New"/>
                <w:sz w:val="22"/>
                <w:szCs w:val="22"/>
              </w:rPr>
              <w:t>Renminbi (Yuan)</w:t>
            </w:r>
          </w:p>
        </w:tc>
        <w:tc>
          <w:tcPr>
            <w:tcW w:w="1670" w:type="dxa"/>
            <w:vAlign w:val="center"/>
          </w:tcPr>
          <w:p w:rsidR="006649DC" w:rsidRPr="002955FD" w:rsidRDefault="006649DC" w:rsidP="00551C65">
            <w:pPr>
              <w:jc w:val="center"/>
              <w:rPr>
                <w:rFonts w:ascii="Bookman Old Style" w:hAnsi="Bookman Old Style" w:cs="Courier New"/>
                <w:sz w:val="22"/>
                <w:szCs w:val="22"/>
              </w:rPr>
            </w:pPr>
            <w:r w:rsidRPr="002955FD">
              <w:rPr>
                <w:rFonts w:ascii="Bookman Old Style" w:hAnsi="Bookman Old Style" w:cs="Courier New"/>
                <w:sz w:val="22"/>
                <w:szCs w:val="22"/>
              </w:rPr>
              <w:t>CNY</w:t>
            </w:r>
          </w:p>
        </w:tc>
        <w:tc>
          <w:tcPr>
            <w:tcW w:w="1806" w:type="dxa"/>
            <w:vAlign w:val="center"/>
          </w:tcPr>
          <w:p w:rsidR="006649DC" w:rsidRPr="002955FD" w:rsidRDefault="006649DC" w:rsidP="007D4984">
            <w:pPr>
              <w:jc w:val="center"/>
              <w:rPr>
                <w:rFonts w:ascii="Bookman Old Style" w:hAnsi="Bookman Old Style" w:cs="Courier New"/>
                <w:sz w:val="22"/>
                <w:szCs w:val="22"/>
              </w:rPr>
            </w:pPr>
            <w:r w:rsidRPr="002955FD">
              <w:rPr>
                <w:rFonts w:ascii="Bookman Old Style" w:hAnsi="Bookman Old Style" w:cs="Courier New"/>
                <w:sz w:val="22"/>
                <w:szCs w:val="22"/>
              </w:rPr>
              <w:t>144</w:t>
            </w:r>
          </w:p>
        </w:tc>
        <w:tc>
          <w:tcPr>
            <w:tcW w:w="1747" w:type="dxa"/>
            <w:vAlign w:val="center"/>
          </w:tcPr>
          <w:p w:rsidR="006649DC" w:rsidRPr="004C7710" w:rsidRDefault="006649DC" w:rsidP="007D4984">
            <w:pPr>
              <w:jc w:val="center"/>
              <w:rPr>
                <w:rFonts w:ascii="Bookman Old Style" w:hAnsi="Bookman Old Style" w:cs="Courier New"/>
                <w:sz w:val="22"/>
                <w:szCs w:val="22"/>
              </w:rPr>
            </w:pPr>
            <w:r>
              <w:rPr>
                <w:rFonts w:ascii="Bookman Old Style" w:hAnsi="Bookman Old Style" w:cs="Courier New"/>
                <w:sz w:val="22"/>
                <w:szCs w:val="22"/>
              </w:rPr>
              <w:t>78.073</w:t>
            </w:r>
          </w:p>
        </w:tc>
      </w:tr>
      <w:tr w:rsidR="006649DC" w:rsidRPr="002E64E6" w:rsidTr="007D4984">
        <w:trPr>
          <w:trHeight w:val="418"/>
        </w:trPr>
        <w:tc>
          <w:tcPr>
            <w:tcW w:w="1938" w:type="dxa"/>
            <w:vAlign w:val="center"/>
          </w:tcPr>
          <w:p w:rsidR="006649DC" w:rsidRPr="002E64E6" w:rsidRDefault="006649DC" w:rsidP="002E64E6">
            <w:pPr>
              <w:jc w:val="center"/>
              <w:rPr>
                <w:rFonts w:ascii="Bookman Old Style" w:hAnsi="Bookman Old Style" w:cs="Courier New"/>
                <w:sz w:val="22"/>
                <w:szCs w:val="22"/>
              </w:rPr>
            </w:pPr>
            <w:r w:rsidRPr="002955FD">
              <w:rPr>
                <w:rFonts w:ascii="Bookman Old Style" w:hAnsi="Bookman Old Style" w:cs="Courier New"/>
                <w:sz w:val="22"/>
                <w:szCs w:val="22"/>
              </w:rPr>
              <w:t>DANIMARCA</w:t>
            </w:r>
          </w:p>
        </w:tc>
        <w:tc>
          <w:tcPr>
            <w:tcW w:w="2467" w:type="dxa"/>
            <w:vAlign w:val="center"/>
          </w:tcPr>
          <w:p w:rsidR="006649DC" w:rsidRPr="002E64E6" w:rsidRDefault="006649DC" w:rsidP="002E64E6">
            <w:pPr>
              <w:jc w:val="center"/>
              <w:rPr>
                <w:rFonts w:ascii="Bookman Old Style" w:hAnsi="Bookman Old Style" w:cs="Courier New"/>
                <w:sz w:val="22"/>
                <w:szCs w:val="22"/>
              </w:rPr>
            </w:pPr>
            <w:r w:rsidRPr="002955FD">
              <w:rPr>
                <w:rFonts w:ascii="Bookman Old Style" w:hAnsi="Bookman Old Style" w:cs="Courier New"/>
                <w:sz w:val="22"/>
                <w:szCs w:val="22"/>
              </w:rPr>
              <w:t>Corona Danese</w:t>
            </w:r>
          </w:p>
        </w:tc>
        <w:tc>
          <w:tcPr>
            <w:tcW w:w="1670" w:type="dxa"/>
            <w:vAlign w:val="center"/>
          </w:tcPr>
          <w:p w:rsidR="006649DC" w:rsidRPr="002E64E6" w:rsidRDefault="006649DC" w:rsidP="00551C65">
            <w:pPr>
              <w:jc w:val="center"/>
              <w:rPr>
                <w:rFonts w:ascii="Bookman Old Style" w:hAnsi="Bookman Old Style" w:cs="Courier New"/>
                <w:sz w:val="22"/>
                <w:szCs w:val="22"/>
              </w:rPr>
            </w:pPr>
            <w:r w:rsidRPr="002955FD">
              <w:rPr>
                <w:rFonts w:ascii="Bookman Old Style" w:hAnsi="Bookman Old Style" w:cs="Courier New"/>
                <w:sz w:val="22"/>
                <w:szCs w:val="22"/>
              </w:rPr>
              <w:t>DKK</w:t>
            </w:r>
          </w:p>
        </w:tc>
        <w:tc>
          <w:tcPr>
            <w:tcW w:w="1806" w:type="dxa"/>
            <w:vAlign w:val="center"/>
          </w:tcPr>
          <w:p w:rsidR="006649DC" w:rsidRPr="00680AF8" w:rsidRDefault="006649DC" w:rsidP="007D4984">
            <w:pPr>
              <w:jc w:val="center"/>
              <w:rPr>
                <w:rFonts w:ascii="Bookman Old Style" w:hAnsi="Bookman Old Style" w:cs="Courier New"/>
                <w:sz w:val="22"/>
                <w:szCs w:val="22"/>
              </w:rPr>
            </w:pPr>
            <w:r w:rsidRPr="002955FD">
              <w:rPr>
                <w:rFonts w:ascii="Bookman Old Style" w:hAnsi="Bookman Old Style" w:cs="Courier New"/>
                <w:sz w:val="22"/>
                <w:szCs w:val="22"/>
              </w:rPr>
              <w:t>007</w:t>
            </w:r>
          </w:p>
        </w:tc>
        <w:tc>
          <w:tcPr>
            <w:tcW w:w="1747" w:type="dxa"/>
            <w:vAlign w:val="center"/>
          </w:tcPr>
          <w:p w:rsidR="006649DC" w:rsidRPr="004C7710" w:rsidRDefault="006649DC" w:rsidP="007D4984">
            <w:pPr>
              <w:jc w:val="center"/>
              <w:rPr>
                <w:rFonts w:ascii="Bookman Old Style" w:hAnsi="Bookman Old Style" w:cs="Courier New"/>
                <w:sz w:val="22"/>
                <w:szCs w:val="22"/>
              </w:rPr>
            </w:pPr>
            <w:r>
              <w:rPr>
                <w:rFonts w:ascii="Bookman Old Style" w:hAnsi="Bookman Old Style" w:cs="Courier New"/>
                <w:sz w:val="22"/>
                <w:szCs w:val="22"/>
              </w:rPr>
              <w:t>74.433</w:t>
            </w:r>
          </w:p>
        </w:tc>
      </w:tr>
      <w:tr w:rsidR="006649DC" w:rsidRPr="002E64E6" w:rsidTr="007D4984">
        <w:trPr>
          <w:trHeight w:val="418"/>
        </w:trPr>
        <w:tc>
          <w:tcPr>
            <w:tcW w:w="1938" w:type="dxa"/>
            <w:vAlign w:val="center"/>
          </w:tcPr>
          <w:p w:rsidR="006649DC" w:rsidRPr="002E64E6" w:rsidRDefault="006649DC" w:rsidP="002E64E6">
            <w:pPr>
              <w:jc w:val="center"/>
              <w:rPr>
                <w:rFonts w:ascii="Bookman Old Style" w:hAnsi="Bookman Old Style" w:cs="Courier New"/>
                <w:sz w:val="22"/>
                <w:szCs w:val="22"/>
              </w:rPr>
            </w:pPr>
            <w:r w:rsidRPr="002955FD">
              <w:rPr>
                <w:rFonts w:ascii="Bookman Old Style" w:hAnsi="Bookman Old Style" w:cs="Courier New"/>
                <w:sz w:val="22"/>
                <w:szCs w:val="22"/>
              </w:rPr>
              <w:t>GIAPPONE</w:t>
            </w:r>
          </w:p>
        </w:tc>
        <w:tc>
          <w:tcPr>
            <w:tcW w:w="2467" w:type="dxa"/>
            <w:vAlign w:val="center"/>
          </w:tcPr>
          <w:p w:rsidR="006649DC" w:rsidRPr="002E64E6" w:rsidRDefault="006649DC" w:rsidP="002E64E6">
            <w:pPr>
              <w:jc w:val="center"/>
              <w:rPr>
                <w:rFonts w:ascii="Bookman Old Style" w:hAnsi="Bookman Old Style" w:cs="Courier New"/>
                <w:sz w:val="22"/>
                <w:szCs w:val="22"/>
              </w:rPr>
            </w:pPr>
            <w:r w:rsidRPr="002955FD">
              <w:rPr>
                <w:rFonts w:ascii="Bookman Old Style" w:hAnsi="Bookman Old Style" w:cs="Courier New"/>
                <w:sz w:val="22"/>
                <w:szCs w:val="22"/>
              </w:rPr>
              <w:t>Yen Giapponese</w:t>
            </w:r>
          </w:p>
        </w:tc>
        <w:tc>
          <w:tcPr>
            <w:tcW w:w="1670" w:type="dxa"/>
            <w:vAlign w:val="center"/>
          </w:tcPr>
          <w:p w:rsidR="006649DC" w:rsidRPr="002E64E6" w:rsidRDefault="006649DC" w:rsidP="00551C65">
            <w:pPr>
              <w:jc w:val="center"/>
              <w:rPr>
                <w:rFonts w:ascii="Bookman Old Style" w:hAnsi="Bookman Old Style" w:cs="Courier New"/>
                <w:sz w:val="22"/>
                <w:szCs w:val="22"/>
              </w:rPr>
            </w:pPr>
            <w:r w:rsidRPr="002955FD">
              <w:rPr>
                <w:rFonts w:ascii="Bookman Old Style" w:hAnsi="Bookman Old Style" w:cs="Courier New"/>
                <w:sz w:val="22"/>
                <w:szCs w:val="22"/>
              </w:rPr>
              <w:t>JPY</w:t>
            </w:r>
          </w:p>
        </w:tc>
        <w:tc>
          <w:tcPr>
            <w:tcW w:w="1806" w:type="dxa"/>
            <w:vAlign w:val="center"/>
          </w:tcPr>
          <w:p w:rsidR="006649DC" w:rsidRPr="00680AF8" w:rsidRDefault="006649DC" w:rsidP="007D4984">
            <w:pPr>
              <w:jc w:val="center"/>
              <w:rPr>
                <w:rFonts w:ascii="Bookman Old Style" w:hAnsi="Bookman Old Style" w:cs="Courier New"/>
                <w:sz w:val="22"/>
                <w:szCs w:val="22"/>
              </w:rPr>
            </w:pPr>
            <w:r w:rsidRPr="002955FD">
              <w:rPr>
                <w:rFonts w:ascii="Bookman Old Style" w:hAnsi="Bookman Old Style" w:cs="Courier New"/>
                <w:sz w:val="22"/>
                <w:szCs w:val="22"/>
              </w:rPr>
              <w:t>071</w:t>
            </w:r>
          </w:p>
        </w:tc>
        <w:tc>
          <w:tcPr>
            <w:tcW w:w="1747" w:type="dxa"/>
            <w:vAlign w:val="center"/>
          </w:tcPr>
          <w:p w:rsidR="006649DC" w:rsidRPr="004C7710" w:rsidRDefault="006649DC" w:rsidP="007D4984">
            <w:pPr>
              <w:jc w:val="center"/>
              <w:rPr>
                <w:rFonts w:ascii="Bookman Old Style" w:hAnsi="Bookman Old Style" w:cs="Courier New"/>
                <w:sz w:val="22"/>
                <w:szCs w:val="22"/>
              </w:rPr>
            </w:pPr>
            <w:r>
              <w:rPr>
                <w:rFonts w:ascii="Bookman Old Style" w:hAnsi="Bookman Old Style" w:cs="Courier New"/>
                <w:sz w:val="22"/>
                <w:szCs w:val="22"/>
              </w:rPr>
              <w:t>1.336.384</w:t>
            </w:r>
          </w:p>
        </w:tc>
      </w:tr>
      <w:tr w:rsidR="006649DC" w:rsidRPr="002E64E6" w:rsidTr="007D4984">
        <w:trPr>
          <w:trHeight w:val="418"/>
        </w:trPr>
        <w:tc>
          <w:tcPr>
            <w:tcW w:w="1938" w:type="dxa"/>
            <w:vAlign w:val="center"/>
          </w:tcPr>
          <w:p w:rsidR="006649DC" w:rsidRPr="002955FD" w:rsidRDefault="006649DC" w:rsidP="002E64E6">
            <w:pPr>
              <w:jc w:val="center"/>
              <w:rPr>
                <w:rFonts w:ascii="Bookman Old Style" w:hAnsi="Bookman Old Style" w:cs="Courier New"/>
                <w:sz w:val="22"/>
                <w:szCs w:val="22"/>
              </w:rPr>
            </w:pPr>
            <w:r w:rsidRPr="002955FD">
              <w:rPr>
                <w:rFonts w:ascii="Bookman Old Style" w:hAnsi="Bookman Old Style" w:cs="Courier New"/>
                <w:sz w:val="22"/>
                <w:szCs w:val="22"/>
              </w:rPr>
              <w:t>INDIA</w:t>
            </w:r>
          </w:p>
        </w:tc>
        <w:tc>
          <w:tcPr>
            <w:tcW w:w="2467" w:type="dxa"/>
            <w:vAlign w:val="center"/>
          </w:tcPr>
          <w:p w:rsidR="006649DC" w:rsidRPr="002955FD" w:rsidRDefault="006649DC" w:rsidP="002E64E6">
            <w:pPr>
              <w:jc w:val="center"/>
              <w:rPr>
                <w:rFonts w:ascii="Bookman Old Style" w:hAnsi="Bookman Old Style" w:cs="Courier New"/>
                <w:sz w:val="22"/>
                <w:szCs w:val="22"/>
              </w:rPr>
            </w:pPr>
            <w:r w:rsidRPr="002955FD">
              <w:rPr>
                <w:rFonts w:ascii="Bookman Old Style" w:hAnsi="Bookman Old Style" w:cs="Courier New"/>
                <w:sz w:val="22"/>
                <w:szCs w:val="22"/>
              </w:rPr>
              <w:t>Rupia Indiana</w:t>
            </w:r>
          </w:p>
        </w:tc>
        <w:tc>
          <w:tcPr>
            <w:tcW w:w="1670" w:type="dxa"/>
            <w:vAlign w:val="center"/>
          </w:tcPr>
          <w:p w:rsidR="006649DC" w:rsidRPr="002955FD" w:rsidRDefault="006649DC" w:rsidP="00551C65">
            <w:pPr>
              <w:jc w:val="center"/>
              <w:rPr>
                <w:rFonts w:ascii="Bookman Old Style" w:hAnsi="Bookman Old Style" w:cs="Courier New"/>
                <w:sz w:val="22"/>
                <w:szCs w:val="22"/>
              </w:rPr>
            </w:pPr>
            <w:r w:rsidRPr="002955FD">
              <w:rPr>
                <w:rFonts w:ascii="Bookman Old Style" w:hAnsi="Bookman Old Style" w:cs="Courier New"/>
                <w:sz w:val="22"/>
                <w:szCs w:val="22"/>
              </w:rPr>
              <w:t>INR</w:t>
            </w:r>
          </w:p>
        </w:tc>
        <w:tc>
          <w:tcPr>
            <w:tcW w:w="1806" w:type="dxa"/>
            <w:vAlign w:val="center"/>
          </w:tcPr>
          <w:p w:rsidR="006649DC" w:rsidRPr="002955FD" w:rsidRDefault="006649DC" w:rsidP="007D4984">
            <w:pPr>
              <w:jc w:val="center"/>
              <w:rPr>
                <w:rFonts w:ascii="Bookman Old Style" w:hAnsi="Bookman Old Style" w:cs="Courier New"/>
                <w:sz w:val="22"/>
                <w:szCs w:val="22"/>
              </w:rPr>
            </w:pPr>
            <w:r w:rsidRPr="002955FD">
              <w:rPr>
                <w:rFonts w:ascii="Bookman Old Style" w:hAnsi="Bookman Old Style" w:cs="Courier New"/>
                <w:sz w:val="22"/>
                <w:szCs w:val="22"/>
              </w:rPr>
              <w:t>031</w:t>
            </w:r>
          </w:p>
        </w:tc>
        <w:tc>
          <w:tcPr>
            <w:tcW w:w="1747" w:type="dxa"/>
            <w:vAlign w:val="center"/>
          </w:tcPr>
          <w:p w:rsidR="006649DC" w:rsidRPr="004C7710" w:rsidRDefault="006649DC" w:rsidP="007D4984">
            <w:pPr>
              <w:jc w:val="center"/>
              <w:rPr>
                <w:rFonts w:ascii="Bookman Old Style" w:hAnsi="Bookman Old Style" w:cs="Courier New"/>
                <w:sz w:val="22"/>
                <w:szCs w:val="22"/>
              </w:rPr>
            </w:pPr>
            <w:r>
              <w:rPr>
                <w:rFonts w:ascii="Bookman Old Style" w:hAnsi="Bookman Old Style" w:cs="Courier New"/>
                <w:sz w:val="22"/>
                <w:szCs w:val="22"/>
              </w:rPr>
              <w:t>760.663</w:t>
            </w:r>
          </w:p>
        </w:tc>
      </w:tr>
      <w:tr w:rsidR="006649DC" w:rsidRPr="002E64E6" w:rsidTr="007D4984">
        <w:trPr>
          <w:trHeight w:val="416"/>
        </w:trPr>
        <w:tc>
          <w:tcPr>
            <w:tcW w:w="1938" w:type="dxa"/>
            <w:vAlign w:val="center"/>
          </w:tcPr>
          <w:p w:rsidR="006649DC" w:rsidRPr="002E64E6" w:rsidRDefault="006649DC" w:rsidP="002E64E6">
            <w:pPr>
              <w:jc w:val="center"/>
              <w:rPr>
                <w:rFonts w:ascii="Bookman Old Style" w:hAnsi="Bookman Old Style" w:cs="Courier New"/>
                <w:sz w:val="22"/>
                <w:szCs w:val="22"/>
              </w:rPr>
            </w:pPr>
            <w:r w:rsidRPr="002955FD">
              <w:rPr>
                <w:rFonts w:ascii="Bookman Old Style" w:hAnsi="Bookman Old Style" w:cs="Courier New"/>
                <w:sz w:val="22"/>
                <w:szCs w:val="22"/>
              </w:rPr>
              <w:t>NORVEGIA</w:t>
            </w:r>
          </w:p>
        </w:tc>
        <w:tc>
          <w:tcPr>
            <w:tcW w:w="2467" w:type="dxa"/>
            <w:vAlign w:val="center"/>
          </w:tcPr>
          <w:p w:rsidR="006649DC" w:rsidRPr="002E64E6" w:rsidRDefault="006649DC" w:rsidP="002E64E6">
            <w:pPr>
              <w:jc w:val="center"/>
              <w:rPr>
                <w:rFonts w:ascii="Bookman Old Style" w:hAnsi="Bookman Old Style" w:cs="Courier New"/>
                <w:sz w:val="22"/>
                <w:szCs w:val="22"/>
              </w:rPr>
            </w:pPr>
            <w:r w:rsidRPr="002955FD">
              <w:rPr>
                <w:rFonts w:ascii="Bookman Old Style" w:hAnsi="Bookman Old Style" w:cs="Courier New"/>
                <w:sz w:val="22"/>
                <w:szCs w:val="22"/>
              </w:rPr>
              <w:t>Corona Norvegese</w:t>
            </w:r>
          </w:p>
        </w:tc>
        <w:tc>
          <w:tcPr>
            <w:tcW w:w="1670" w:type="dxa"/>
            <w:vAlign w:val="center"/>
          </w:tcPr>
          <w:p w:rsidR="006649DC" w:rsidRPr="002E64E6" w:rsidRDefault="006649DC" w:rsidP="00551C65">
            <w:pPr>
              <w:jc w:val="center"/>
              <w:rPr>
                <w:rFonts w:ascii="Bookman Old Style" w:hAnsi="Bookman Old Style" w:cs="Courier New"/>
                <w:sz w:val="22"/>
                <w:szCs w:val="22"/>
              </w:rPr>
            </w:pPr>
            <w:r w:rsidRPr="002955FD">
              <w:rPr>
                <w:rFonts w:ascii="Bookman Old Style" w:hAnsi="Bookman Old Style" w:cs="Courier New"/>
                <w:sz w:val="22"/>
                <w:szCs w:val="22"/>
              </w:rPr>
              <w:t>NOK</w:t>
            </w:r>
          </w:p>
        </w:tc>
        <w:tc>
          <w:tcPr>
            <w:tcW w:w="1806" w:type="dxa"/>
            <w:vAlign w:val="center"/>
          </w:tcPr>
          <w:p w:rsidR="006649DC" w:rsidRPr="00680AF8" w:rsidRDefault="006649DC" w:rsidP="007D4984">
            <w:pPr>
              <w:jc w:val="center"/>
              <w:rPr>
                <w:rFonts w:ascii="Bookman Old Style" w:hAnsi="Bookman Old Style" w:cs="Courier New"/>
                <w:sz w:val="22"/>
                <w:szCs w:val="22"/>
              </w:rPr>
            </w:pPr>
            <w:r w:rsidRPr="002955FD">
              <w:rPr>
                <w:rFonts w:ascii="Bookman Old Style" w:hAnsi="Bookman Old Style" w:cs="Courier New"/>
                <w:sz w:val="22"/>
                <w:szCs w:val="22"/>
              </w:rPr>
              <w:t>008</w:t>
            </w:r>
          </w:p>
        </w:tc>
        <w:tc>
          <w:tcPr>
            <w:tcW w:w="1747" w:type="dxa"/>
            <w:vAlign w:val="center"/>
          </w:tcPr>
          <w:p w:rsidR="006649DC" w:rsidRPr="004C7710" w:rsidRDefault="006649DC" w:rsidP="007D4984">
            <w:pPr>
              <w:jc w:val="center"/>
              <w:rPr>
                <w:rFonts w:ascii="Bookman Old Style" w:hAnsi="Bookman Old Style" w:cs="Courier New"/>
                <w:sz w:val="22"/>
                <w:szCs w:val="22"/>
              </w:rPr>
            </w:pPr>
            <w:r>
              <w:rPr>
                <w:rFonts w:ascii="Bookman Old Style" w:hAnsi="Bookman Old Style" w:cs="Courier New"/>
                <w:sz w:val="22"/>
                <w:szCs w:val="22"/>
              </w:rPr>
              <w:t>98.412</w:t>
            </w:r>
          </w:p>
        </w:tc>
      </w:tr>
      <w:tr w:rsidR="006649DC" w:rsidRPr="002E64E6" w:rsidTr="007D4984">
        <w:trPr>
          <w:trHeight w:val="422"/>
        </w:trPr>
        <w:tc>
          <w:tcPr>
            <w:tcW w:w="1938" w:type="dxa"/>
            <w:vAlign w:val="center"/>
          </w:tcPr>
          <w:p w:rsidR="006649DC" w:rsidRPr="002E64E6" w:rsidRDefault="006649DC" w:rsidP="002E64E6">
            <w:pPr>
              <w:jc w:val="center"/>
              <w:rPr>
                <w:rFonts w:ascii="Bookman Old Style" w:hAnsi="Bookman Old Style" w:cs="Courier New"/>
                <w:sz w:val="22"/>
                <w:szCs w:val="22"/>
              </w:rPr>
            </w:pPr>
            <w:r w:rsidRPr="002955FD">
              <w:rPr>
                <w:rFonts w:ascii="Bookman Old Style" w:hAnsi="Bookman Old Style" w:cs="Courier New"/>
                <w:sz w:val="22"/>
                <w:szCs w:val="22"/>
              </w:rPr>
              <w:t>REGNO UNITO</w:t>
            </w:r>
          </w:p>
        </w:tc>
        <w:tc>
          <w:tcPr>
            <w:tcW w:w="2467" w:type="dxa"/>
            <w:vAlign w:val="center"/>
          </w:tcPr>
          <w:p w:rsidR="006649DC" w:rsidRPr="002E64E6" w:rsidRDefault="006649DC" w:rsidP="002E64E6">
            <w:pPr>
              <w:jc w:val="center"/>
              <w:rPr>
                <w:rFonts w:ascii="Bookman Old Style" w:hAnsi="Bookman Old Style" w:cs="Courier New"/>
                <w:sz w:val="22"/>
                <w:szCs w:val="22"/>
              </w:rPr>
            </w:pPr>
            <w:r w:rsidRPr="002955FD">
              <w:rPr>
                <w:rFonts w:ascii="Bookman Old Style" w:hAnsi="Bookman Old Style" w:cs="Courier New"/>
                <w:sz w:val="22"/>
                <w:szCs w:val="22"/>
              </w:rPr>
              <w:t>Sterlina Gran Bretagna</w:t>
            </w:r>
          </w:p>
        </w:tc>
        <w:tc>
          <w:tcPr>
            <w:tcW w:w="1670" w:type="dxa"/>
            <w:vAlign w:val="center"/>
          </w:tcPr>
          <w:p w:rsidR="006649DC" w:rsidRPr="002E64E6" w:rsidRDefault="006649DC" w:rsidP="00551C65">
            <w:pPr>
              <w:jc w:val="center"/>
              <w:rPr>
                <w:rFonts w:ascii="Bookman Old Style" w:hAnsi="Bookman Old Style" w:cs="Courier New"/>
                <w:sz w:val="22"/>
                <w:szCs w:val="22"/>
              </w:rPr>
            </w:pPr>
            <w:r w:rsidRPr="002955FD">
              <w:rPr>
                <w:rFonts w:ascii="Bookman Old Style" w:hAnsi="Bookman Old Style" w:cs="Courier New"/>
                <w:sz w:val="22"/>
                <w:szCs w:val="22"/>
              </w:rPr>
              <w:t>GBP</w:t>
            </w:r>
          </w:p>
        </w:tc>
        <w:tc>
          <w:tcPr>
            <w:tcW w:w="1806" w:type="dxa"/>
            <w:vAlign w:val="center"/>
          </w:tcPr>
          <w:p w:rsidR="006649DC" w:rsidRPr="00680AF8" w:rsidRDefault="006649DC" w:rsidP="007D4984">
            <w:pPr>
              <w:jc w:val="center"/>
              <w:rPr>
                <w:rFonts w:ascii="Bookman Old Style" w:hAnsi="Bookman Old Style" w:cs="Courier New"/>
                <w:sz w:val="22"/>
                <w:szCs w:val="22"/>
              </w:rPr>
            </w:pPr>
            <w:r w:rsidRPr="002955FD">
              <w:rPr>
                <w:rFonts w:ascii="Bookman Old Style" w:hAnsi="Bookman Old Style" w:cs="Courier New"/>
                <w:sz w:val="22"/>
                <w:szCs w:val="22"/>
              </w:rPr>
              <w:t>002</w:t>
            </w:r>
          </w:p>
        </w:tc>
        <w:tc>
          <w:tcPr>
            <w:tcW w:w="1747" w:type="dxa"/>
            <w:vAlign w:val="center"/>
          </w:tcPr>
          <w:p w:rsidR="006649DC" w:rsidRPr="004C7710" w:rsidRDefault="006649DC" w:rsidP="007D4984">
            <w:pPr>
              <w:jc w:val="center"/>
              <w:rPr>
                <w:rFonts w:ascii="Bookman Old Style" w:hAnsi="Bookman Old Style" w:cs="Courier New"/>
                <w:sz w:val="22"/>
                <w:szCs w:val="22"/>
              </w:rPr>
            </w:pPr>
            <w:r>
              <w:rPr>
                <w:rFonts w:ascii="Bookman Old Style" w:hAnsi="Bookman Old Style" w:cs="Courier New"/>
                <w:sz w:val="22"/>
                <w:szCs w:val="22"/>
              </w:rPr>
              <w:t>0.88265</w:t>
            </w:r>
          </w:p>
        </w:tc>
      </w:tr>
      <w:tr w:rsidR="006649DC" w:rsidRPr="002E64E6" w:rsidTr="007D4984">
        <w:trPr>
          <w:trHeight w:val="422"/>
        </w:trPr>
        <w:tc>
          <w:tcPr>
            <w:tcW w:w="1938" w:type="dxa"/>
            <w:vAlign w:val="center"/>
          </w:tcPr>
          <w:p w:rsidR="006649DC" w:rsidRPr="002955FD" w:rsidRDefault="006649DC" w:rsidP="002E64E6">
            <w:pPr>
              <w:jc w:val="center"/>
              <w:rPr>
                <w:rFonts w:ascii="Bookman Old Style" w:hAnsi="Bookman Old Style" w:cs="Courier New"/>
                <w:sz w:val="22"/>
                <w:szCs w:val="22"/>
              </w:rPr>
            </w:pPr>
            <w:r w:rsidRPr="002955FD">
              <w:rPr>
                <w:rFonts w:ascii="Bookman Old Style" w:hAnsi="Bookman Old Style" w:cs="Courier New"/>
                <w:sz w:val="22"/>
                <w:szCs w:val="22"/>
              </w:rPr>
              <w:t>RUSSIA</w:t>
            </w:r>
          </w:p>
        </w:tc>
        <w:tc>
          <w:tcPr>
            <w:tcW w:w="2467" w:type="dxa"/>
            <w:vAlign w:val="center"/>
          </w:tcPr>
          <w:p w:rsidR="006649DC" w:rsidRPr="002955FD" w:rsidRDefault="006649DC" w:rsidP="002E64E6">
            <w:pPr>
              <w:jc w:val="center"/>
              <w:rPr>
                <w:rFonts w:ascii="Bookman Old Style" w:hAnsi="Bookman Old Style" w:cs="Courier New"/>
                <w:sz w:val="22"/>
                <w:szCs w:val="22"/>
              </w:rPr>
            </w:pPr>
            <w:r w:rsidRPr="002955FD">
              <w:rPr>
                <w:rFonts w:ascii="Bookman Old Style" w:hAnsi="Bookman Old Style" w:cs="Courier New"/>
                <w:sz w:val="22"/>
                <w:szCs w:val="22"/>
              </w:rPr>
              <w:t>Rublo Russia</w:t>
            </w:r>
          </w:p>
        </w:tc>
        <w:tc>
          <w:tcPr>
            <w:tcW w:w="1670" w:type="dxa"/>
            <w:vAlign w:val="center"/>
          </w:tcPr>
          <w:p w:rsidR="006649DC" w:rsidRPr="002955FD" w:rsidRDefault="006649DC" w:rsidP="00551C65">
            <w:pPr>
              <w:jc w:val="center"/>
              <w:rPr>
                <w:rFonts w:ascii="Bookman Old Style" w:hAnsi="Bookman Old Style" w:cs="Courier New"/>
                <w:sz w:val="22"/>
                <w:szCs w:val="22"/>
              </w:rPr>
            </w:pPr>
            <w:r w:rsidRPr="002955FD">
              <w:rPr>
                <w:rFonts w:ascii="Bookman Old Style" w:hAnsi="Bookman Old Style" w:cs="Courier New"/>
                <w:sz w:val="22"/>
                <w:szCs w:val="22"/>
              </w:rPr>
              <w:t>RUB</w:t>
            </w:r>
          </w:p>
        </w:tc>
        <w:tc>
          <w:tcPr>
            <w:tcW w:w="1806" w:type="dxa"/>
            <w:vAlign w:val="center"/>
          </w:tcPr>
          <w:p w:rsidR="006649DC" w:rsidRPr="002955FD" w:rsidRDefault="006649DC" w:rsidP="007D4984">
            <w:pPr>
              <w:jc w:val="center"/>
              <w:rPr>
                <w:rFonts w:ascii="Bookman Old Style" w:hAnsi="Bookman Old Style" w:cs="Courier New"/>
                <w:sz w:val="22"/>
                <w:szCs w:val="22"/>
              </w:rPr>
            </w:pPr>
            <w:r w:rsidRPr="002955FD">
              <w:rPr>
                <w:rFonts w:ascii="Bookman Old Style" w:hAnsi="Bookman Old Style" w:cs="Courier New"/>
                <w:sz w:val="22"/>
                <w:szCs w:val="22"/>
              </w:rPr>
              <w:t>244</w:t>
            </w:r>
          </w:p>
        </w:tc>
        <w:tc>
          <w:tcPr>
            <w:tcW w:w="1747" w:type="dxa"/>
            <w:vAlign w:val="center"/>
          </w:tcPr>
          <w:p w:rsidR="006649DC" w:rsidRPr="004C7710" w:rsidRDefault="006649DC" w:rsidP="007D4984">
            <w:pPr>
              <w:jc w:val="center"/>
              <w:rPr>
                <w:rFonts w:ascii="Bookman Old Style" w:hAnsi="Bookman Old Style" w:cs="Courier New"/>
                <w:sz w:val="22"/>
                <w:szCs w:val="22"/>
              </w:rPr>
            </w:pPr>
            <w:r>
              <w:rPr>
                <w:rFonts w:ascii="Bookman Old Style" w:hAnsi="Bookman Old Style" w:cs="Courier New"/>
                <w:sz w:val="22"/>
                <w:szCs w:val="22"/>
              </w:rPr>
              <w:t>694.092</w:t>
            </w:r>
          </w:p>
        </w:tc>
      </w:tr>
      <w:tr w:rsidR="006649DC" w:rsidRPr="002E64E6" w:rsidTr="007D4984">
        <w:trPr>
          <w:trHeight w:val="400"/>
        </w:trPr>
        <w:tc>
          <w:tcPr>
            <w:tcW w:w="1938" w:type="dxa"/>
            <w:vAlign w:val="center"/>
          </w:tcPr>
          <w:p w:rsidR="006649DC" w:rsidRPr="002E64E6" w:rsidRDefault="006649DC" w:rsidP="002E64E6">
            <w:pPr>
              <w:jc w:val="center"/>
              <w:rPr>
                <w:rFonts w:ascii="Bookman Old Style" w:hAnsi="Bookman Old Style" w:cs="Courier New"/>
                <w:sz w:val="22"/>
                <w:szCs w:val="22"/>
              </w:rPr>
            </w:pPr>
            <w:r w:rsidRPr="002955FD">
              <w:rPr>
                <w:rFonts w:ascii="Bookman Old Style" w:hAnsi="Bookman Old Style" w:cs="Courier New"/>
                <w:sz w:val="22"/>
                <w:szCs w:val="22"/>
              </w:rPr>
              <w:t>STATI UNITI</w:t>
            </w:r>
          </w:p>
        </w:tc>
        <w:tc>
          <w:tcPr>
            <w:tcW w:w="2467" w:type="dxa"/>
            <w:vAlign w:val="center"/>
          </w:tcPr>
          <w:p w:rsidR="006649DC" w:rsidRPr="002E64E6" w:rsidRDefault="006649DC" w:rsidP="002E64E6">
            <w:pPr>
              <w:jc w:val="center"/>
              <w:rPr>
                <w:rFonts w:ascii="Bookman Old Style" w:hAnsi="Bookman Old Style" w:cs="Courier New"/>
                <w:sz w:val="22"/>
                <w:szCs w:val="22"/>
              </w:rPr>
            </w:pPr>
            <w:r w:rsidRPr="002955FD">
              <w:rPr>
                <w:rFonts w:ascii="Bookman Old Style" w:hAnsi="Bookman Old Style" w:cs="Courier New"/>
                <w:sz w:val="22"/>
                <w:szCs w:val="22"/>
              </w:rPr>
              <w:t>Dollaro USA</w:t>
            </w:r>
          </w:p>
        </w:tc>
        <w:tc>
          <w:tcPr>
            <w:tcW w:w="1670" w:type="dxa"/>
            <w:vAlign w:val="center"/>
          </w:tcPr>
          <w:p w:rsidR="006649DC" w:rsidRPr="002E64E6" w:rsidRDefault="006649DC" w:rsidP="00551C65">
            <w:pPr>
              <w:jc w:val="center"/>
              <w:rPr>
                <w:rFonts w:ascii="Bookman Old Style" w:hAnsi="Bookman Old Style" w:cs="Courier New"/>
                <w:sz w:val="22"/>
                <w:szCs w:val="22"/>
              </w:rPr>
            </w:pPr>
            <w:r w:rsidRPr="002955FD">
              <w:rPr>
                <w:rFonts w:ascii="Bookman Old Style" w:hAnsi="Bookman Old Style" w:cs="Courier New"/>
                <w:sz w:val="22"/>
                <w:szCs w:val="22"/>
              </w:rPr>
              <w:t>USD</w:t>
            </w:r>
          </w:p>
        </w:tc>
        <w:tc>
          <w:tcPr>
            <w:tcW w:w="1806" w:type="dxa"/>
            <w:vAlign w:val="center"/>
          </w:tcPr>
          <w:p w:rsidR="006649DC" w:rsidRPr="00680AF8" w:rsidRDefault="006649DC" w:rsidP="007D4984">
            <w:pPr>
              <w:jc w:val="center"/>
              <w:rPr>
                <w:rFonts w:ascii="Bookman Old Style" w:hAnsi="Bookman Old Style" w:cs="Courier New"/>
                <w:sz w:val="22"/>
                <w:szCs w:val="22"/>
              </w:rPr>
            </w:pPr>
            <w:r w:rsidRPr="002955FD">
              <w:rPr>
                <w:rFonts w:ascii="Bookman Old Style" w:hAnsi="Bookman Old Style" w:cs="Courier New"/>
                <w:sz w:val="22"/>
                <w:szCs w:val="22"/>
              </w:rPr>
              <w:t>001</w:t>
            </w:r>
          </w:p>
        </w:tc>
        <w:tc>
          <w:tcPr>
            <w:tcW w:w="1747" w:type="dxa"/>
            <w:vAlign w:val="center"/>
          </w:tcPr>
          <w:p w:rsidR="006649DC" w:rsidRPr="004C7710" w:rsidRDefault="006649DC" w:rsidP="007D4984">
            <w:pPr>
              <w:jc w:val="center"/>
              <w:rPr>
                <w:rFonts w:ascii="Bookman Old Style" w:hAnsi="Bookman Old Style" w:cs="Courier New"/>
                <w:sz w:val="22"/>
                <w:szCs w:val="22"/>
              </w:rPr>
            </w:pPr>
            <w:r>
              <w:rPr>
                <w:rFonts w:ascii="Bookman Old Style" w:hAnsi="Bookman Old Style" w:cs="Courier New"/>
                <w:sz w:val="22"/>
                <w:szCs w:val="22"/>
              </w:rPr>
              <w:t>11.836</w:t>
            </w:r>
          </w:p>
        </w:tc>
      </w:tr>
      <w:tr w:rsidR="006649DC" w:rsidRPr="002E64E6" w:rsidTr="007D4984">
        <w:trPr>
          <w:trHeight w:val="433"/>
        </w:trPr>
        <w:tc>
          <w:tcPr>
            <w:tcW w:w="1938" w:type="dxa"/>
            <w:vAlign w:val="center"/>
          </w:tcPr>
          <w:p w:rsidR="006649DC" w:rsidRPr="002955FD" w:rsidRDefault="006649DC" w:rsidP="002E64E6">
            <w:pPr>
              <w:jc w:val="center"/>
              <w:rPr>
                <w:rFonts w:ascii="Bookman Old Style" w:hAnsi="Bookman Old Style" w:cs="Courier New"/>
                <w:sz w:val="22"/>
                <w:szCs w:val="22"/>
              </w:rPr>
            </w:pPr>
            <w:r w:rsidRPr="002955FD">
              <w:rPr>
                <w:rFonts w:ascii="Bookman Old Style" w:hAnsi="Bookman Old Style" w:cs="Courier New"/>
                <w:sz w:val="22"/>
                <w:szCs w:val="22"/>
              </w:rPr>
              <w:t>SVEZIA</w:t>
            </w:r>
          </w:p>
        </w:tc>
        <w:tc>
          <w:tcPr>
            <w:tcW w:w="2467" w:type="dxa"/>
            <w:vAlign w:val="center"/>
          </w:tcPr>
          <w:p w:rsidR="006649DC" w:rsidRPr="002955FD" w:rsidRDefault="006649DC" w:rsidP="002E64E6">
            <w:pPr>
              <w:jc w:val="center"/>
              <w:rPr>
                <w:rFonts w:ascii="Bookman Old Style" w:hAnsi="Bookman Old Style" w:cs="Courier New"/>
                <w:sz w:val="22"/>
                <w:szCs w:val="22"/>
              </w:rPr>
            </w:pPr>
            <w:r w:rsidRPr="002955FD">
              <w:rPr>
                <w:rFonts w:ascii="Bookman Old Style" w:hAnsi="Bookman Old Style" w:cs="Courier New"/>
                <w:sz w:val="22"/>
                <w:szCs w:val="22"/>
              </w:rPr>
              <w:t>Corona Svedese</w:t>
            </w:r>
          </w:p>
        </w:tc>
        <w:tc>
          <w:tcPr>
            <w:tcW w:w="1670" w:type="dxa"/>
            <w:vAlign w:val="center"/>
          </w:tcPr>
          <w:p w:rsidR="006649DC" w:rsidRPr="002955FD" w:rsidRDefault="006649DC" w:rsidP="00551C65">
            <w:pPr>
              <w:jc w:val="center"/>
              <w:rPr>
                <w:rFonts w:ascii="Bookman Old Style" w:hAnsi="Bookman Old Style" w:cs="Courier New"/>
                <w:sz w:val="22"/>
                <w:szCs w:val="22"/>
              </w:rPr>
            </w:pPr>
            <w:r w:rsidRPr="002955FD">
              <w:rPr>
                <w:rFonts w:ascii="Bookman Old Style" w:hAnsi="Bookman Old Style" w:cs="Courier New"/>
                <w:sz w:val="22"/>
                <w:szCs w:val="22"/>
              </w:rPr>
              <w:t>SEK</w:t>
            </w:r>
          </w:p>
        </w:tc>
        <w:tc>
          <w:tcPr>
            <w:tcW w:w="1806" w:type="dxa"/>
            <w:vAlign w:val="center"/>
          </w:tcPr>
          <w:p w:rsidR="006649DC" w:rsidRPr="002955FD" w:rsidRDefault="006649DC" w:rsidP="007D4984">
            <w:pPr>
              <w:jc w:val="center"/>
              <w:rPr>
                <w:rFonts w:ascii="Bookman Old Style" w:hAnsi="Bookman Old Style" w:cs="Courier New"/>
                <w:sz w:val="22"/>
                <w:szCs w:val="22"/>
              </w:rPr>
            </w:pPr>
            <w:r w:rsidRPr="002955FD">
              <w:rPr>
                <w:rFonts w:ascii="Bookman Old Style" w:hAnsi="Bookman Old Style" w:cs="Courier New"/>
                <w:sz w:val="22"/>
                <w:szCs w:val="22"/>
              </w:rPr>
              <w:t>009</w:t>
            </w:r>
          </w:p>
        </w:tc>
        <w:tc>
          <w:tcPr>
            <w:tcW w:w="1747" w:type="dxa"/>
            <w:vAlign w:val="center"/>
          </w:tcPr>
          <w:p w:rsidR="006649DC" w:rsidRPr="004C7710" w:rsidRDefault="006649DC" w:rsidP="007D4984">
            <w:pPr>
              <w:jc w:val="center"/>
              <w:rPr>
                <w:rFonts w:ascii="Bookman Old Style" w:hAnsi="Bookman Old Style" w:cs="Courier New"/>
                <w:sz w:val="22"/>
                <w:szCs w:val="22"/>
              </w:rPr>
            </w:pPr>
            <w:r>
              <w:rPr>
                <w:rFonts w:ascii="Bookman Old Style" w:hAnsi="Bookman Old Style" w:cs="Courier New"/>
                <w:sz w:val="22"/>
                <w:szCs w:val="22"/>
              </w:rPr>
              <w:t>9.937</w:t>
            </w:r>
          </w:p>
        </w:tc>
      </w:tr>
      <w:tr w:rsidR="006649DC" w:rsidRPr="002E64E6" w:rsidTr="007D4984">
        <w:trPr>
          <w:trHeight w:val="398"/>
        </w:trPr>
        <w:tc>
          <w:tcPr>
            <w:tcW w:w="1938" w:type="dxa"/>
            <w:vAlign w:val="center"/>
          </w:tcPr>
          <w:p w:rsidR="006649DC" w:rsidRPr="002955FD" w:rsidRDefault="006649DC" w:rsidP="002E64E6">
            <w:pPr>
              <w:jc w:val="center"/>
              <w:rPr>
                <w:rFonts w:ascii="Bookman Old Style" w:hAnsi="Bookman Old Style" w:cs="Courier New"/>
                <w:sz w:val="22"/>
                <w:szCs w:val="22"/>
              </w:rPr>
            </w:pPr>
            <w:r w:rsidRPr="002955FD">
              <w:rPr>
                <w:rFonts w:ascii="Bookman Old Style" w:hAnsi="Bookman Old Style" w:cs="Courier New"/>
                <w:sz w:val="22"/>
                <w:szCs w:val="22"/>
              </w:rPr>
              <w:t>SVIZZERA</w:t>
            </w:r>
          </w:p>
        </w:tc>
        <w:tc>
          <w:tcPr>
            <w:tcW w:w="2467" w:type="dxa"/>
            <w:vAlign w:val="center"/>
          </w:tcPr>
          <w:p w:rsidR="006649DC" w:rsidRPr="002955FD" w:rsidRDefault="006649DC" w:rsidP="002E64E6">
            <w:pPr>
              <w:jc w:val="center"/>
              <w:rPr>
                <w:rFonts w:ascii="Bookman Old Style" w:hAnsi="Bookman Old Style" w:cs="Courier New"/>
                <w:sz w:val="22"/>
                <w:szCs w:val="22"/>
              </w:rPr>
            </w:pPr>
            <w:r w:rsidRPr="002955FD">
              <w:rPr>
                <w:rFonts w:ascii="Bookman Old Style" w:hAnsi="Bookman Old Style" w:cs="Courier New"/>
                <w:sz w:val="22"/>
                <w:szCs w:val="22"/>
              </w:rPr>
              <w:t>Franco Svizzero</w:t>
            </w:r>
          </w:p>
        </w:tc>
        <w:tc>
          <w:tcPr>
            <w:tcW w:w="1670" w:type="dxa"/>
            <w:vAlign w:val="center"/>
          </w:tcPr>
          <w:p w:rsidR="006649DC" w:rsidRPr="002955FD" w:rsidRDefault="006649DC" w:rsidP="00551C65">
            <w:pPr>
              <w:jc w:val="center"/>
              <w:rPr>
                <w:rFonts w:ascii="Bookman Old Style" w:hAnsi="Bookman Old Style" w:cs="Courier New"/>
                <w:sz w:val="22"/>
                <w:szCs w:val="22"/>
              </w:rPr>
            </w:pPr>
            <w:r w:rsidRPr="002955FD">
              <w:rPr>
                <w:rFonts w:ascii="Bookman Old Style" w:hAnsi="Bookman Old Style" w:cs="Courier New"/>
                <w:sz w:val="22"/>
                <w:szCs w:val="22"/>
              </w:rPr>
              <w:t>CHF</w:t>
            </w:r>
          </w:p>
        </w:tc>
        <w:tc>
          <w:tcPr>
            <w:tcW w:w="1806" w:type="dxa"/>
            <w:vAlign w:val="center"/>
          </w:tcPr>
          <w:p w:rsidR="006649DC" w:rsidRPr="002955FD" w:rsidRDefault="006649DC" w:rsidP="007D4984">
            <w:pPr>
              <w:jc w:val="center"/>
              <w:rPr>
                <w:rFonts w:ascii="Bookman Old Style" w:hAnsi="Bookman Old Style" w:cs="Courier New"/>
                <w:sz w:val="22"/>
                <w:szCs w:val="22"/>
              </w:rPr>
            </w:pPr>
            <w:r w:rsidRPr="002955FD">
              <w:rPr>
                <w:rFonts w:ascii="Bookman Old Style" w:hAnsi="Bookman Old Style" w:cs="Courier New"/>
                <w:sz w:val="22"/>
                <w:szCs w:val="22"/>
              </w:rPr>
              <w:t>003</w:t>
            </w:r>
          </w:p>
        </w:tc>
        <w:tc>
          <w:tcPr>
            <w:tcW w:w="1747" w:type="dxa"/>
            <w:vAlign w:val="center"/>
          </w:tcPr>
          <w:p w:rsidR="006649DC" w:rsidRPr="004C7710" w:rsidRDefault="006649DC" w:rsidP="007D4984">
            <w:pPr>
              <w:jc w:val="center"/>
              <w:rPr>
                <w:rFonts w:ascii="Bookman Old Style" w:hAnsi="Bookman Old Style" w:cs="Courier New"/>
                <w:sz w:val="22"/>
                <w:szCs w:val="22"/>
              </w:rPr>
            </w:pPr>
            <w:r>
              <w:rPr>
                <w:rFonts w:ascii="Bookman Old Style" w:hAnsi="Bookman Old Style" w:cs="Courier New"/>
                <w:sz w:val="22"/>
                <w:szCs w:val="22"/>
              </w:rPr>
              <w:t>11.689</w:t>
            </w:r>
          </w:p>
        </w:tc>
      </w:tr>
    </w:tbl>
    <w:p w:rsidR="006649DC" w:rsidRPr="002E64E6" w:rsidRDefault="006649DC" w:rsidP="002E64E6">
      <w:pPr>
        <w:jc w:val="center"/>
        <w:rPr>
          <w:rFonts w:ascii="Bookman Old Style" w:hAnsi="Bookman Old Style" w:cs="Courier New"/>
          <w:sz w:val="22"/>
          <w:szCs w:val="22"/>
        </w:rPr>
      </w:pPr>
    </w:p>
    <w:p w:rsidR="006649DC" w:rsidRPr="002E64E6" w:rsidRDefault="006649DC" w:rsidP="002E64E6">
      <w:pPr>
        <w:jc w:val="center"/>
        <w:rPr>
          <w:rFonts w:ascii="Bookman Old Style" w:hAnsi="Bookman Old Style" w:cs="Courier New"/>
          <w:sz w:val="22"/>
          <w:szCs w:val="22"/>
        </w:rPr>
      </w:pPr>
    </w:p>
    <w:p w:rsidR="006649DC" w:rsidRPr="002955FD"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Cs/>
          <w:sz w:val="22"/>
          <w:szCs w:val="22"/>
        </w:rPr>
      </w:pPr>
    </w:p>
    <w:p w:rsidR="006649DC"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Cs/>
          <w:sz w:val="22"/>
          <w:szCs w:val="22"/>
        </w:rPr>
      </w:pPr>
    </w:p>
    <w:p w:rsidR="006649DC" w:rsidRPr="00D64D29" w:rsidRDefault="006649DC" w:rsidP="00782E9D">
      <w:pPr>
        <w:pStyle w:val="Heading1"/>
        <w:pBdr>
          <w:top w:val="single" w:sz="4" w:space="1" w:color="auto"/>
          <w:left w:val="single" w:sz="4" w:space="4" w:color="auto"/>
          <w:bottom w:val="single" w:sz="4" w:space="1" w:color="auto"/>
          <w:right w:val="single" w:sz="4" w:space="4" w:color="auto"/>
        </w:pBdr>
        <w:jc w:val="center"/>
        <w:rPr>
          <w:rFonts w:ascii="Bookman Old Style" w:hAnsi="Bookman Old Style"/>
          <w:color w:val="FF0000"/>
          <w:sz w:val="28"/>
          <w:szCs w:val="28"/>
        </w:rPr>
      </w:pPr>
      <w:bookmarkStart w:id="50" w:name="_Toc448485266"/>
      <w:bookmarkStart w:id="51" w:name="_Toc448485390"/>
      <w:bookmarkStart w:id="52" w:name="_Toc448485529"/>
      <w:bookmarkStart w:id="53" w:name="_Toc448485657"/>
      <w:bookmarkStart w:id="54" w:name="_Toc448485782"/>
      <w:bookmarkStart w:id="55" w:name="_Toc448485885"/>
      <w:bookmarkStart w:id="56" w:name="_Toc448494588"/>
      <w:bookmarkStart w:id="57" w:name="_Toc506559947"/>
      <w:r w:rsidRPr="00D64D29">
        <w:rPr>
          <w:rFonts w:ascii="Bookman Old Style" w:hAnsi="Bookman Old Style"/>
          <w:color w:val="FF0000"/>
          <w:sz w:val="28"/>
          <w:szCs w:val="28"/>
        </w:rPr>
        <w:t>SCADENZARIO</w:t>
      </w:r>
      <w:bookmarkEnd w:id="50"/>
      <w:bookmarkEnd w:id="51"/>
      <w:bookmarkEnd w:id="52"/>
      <w:bookmarkEnd w:id="53"/>
      <w:bookmarkEnd w:id="54"/>
      <w:bookmarkEnd w:id="55"/>
      <w:bookmarkEnd w:id="56"/>
      <w:bookmarkEnd w:id="57"/>
    </w:p>
    <w:p w:rsidR="006649DC" w:rsidRPr="002955FD" w:rsidRDefault="006649DC" w:rsidP="002955FD">
      <w:pPr>
        <w:jc w:val="both"/>
        <w:rPr>
          <w:rFonts w:ascii="Bookman Old Style" w:hAnsi="Bookman Old Style"/>
          <w:bCs/>
          <w:sz w:val="22"/>
          <w:szCs w:val="22"/>
        </w:rPr>
      </w:pPr>
    </w:p>
    <w:p w:rsidR="006649DC" w:rsidRPr="002955FD" w:rsidRDefault="006649DC" w:rsidP="002955FD">
      <w:pPr>
        <w:jc w:val="both"/>
        <w:rPr>
          <w:rFonts w:ascii="Bookman Old Style" w:hAnsi="Bookman Old Style"/>
          <w:b/>
          <w:sz w:val="22"/>
          <w:szCs w:val="22"/>
        </w:rPr>
      </w:pPr>
    </w:p>
    <w:p w:rsidR="006649DC" w:rsidRPr="002955FD" w:rsidRDefault="006649DC" w:rsidP="00D0270A">
      <w:pPr>
        <w:pBdr>
          <w:top w:val="single" w:sz="4" w:space="1" w:color="auto"/>
          <w:left w:val="single" w:sz="4" w:space="4" w:color="auto"/>
          <w:bottom w:val="single" w:sz="4" w:space="1" w:color="auto"/>
          <w:right w:val="single" w:sz="4" w:space="4" w:color="auto"/>
        </w:pBdr>
        <w:shd w:val="clear" w:color="auto" w:fill="FFFFCC"/>
        <w:jc w:val="center"/>
        <w:rPr>
          <w:rFonts w:ascii="Bookman Old Style" w:hAnsi="Bookman Old Style"/>
          <w:sz w:val="22"/>
          <w:szCs w:val="22"/>
        </w:rPr>
      </w:pPr>
      <w:bookmarkStart w:id="58" w:name="_Toc448485783"/>
      <w:bookmarkStart w:id="59" w:name="_Toc448485886"/>
      <w:bookmarkStart w:id="60" w:name="_Toc448494589"/>
      <w:bookmarkStart w:id="61" w:name="_Toc506559948"/>
      <w:bookmarkStart w:id="62" w:name="_Toc448485267"/>
      <w:bookmarkStart w:id="63" w:name="_Toc448485391"/>
      <w:bookmarkStart w:id="64" w:name="_Toc448485530"/>
      <w:bookmarkStart w:id="65" w:name="_Toc448485658"/>
      <w:r>
        <w:rPr>
          <w:rStyle w:val="Heading2Char"/>
          <w:rFonts w:ascii="Bookman Old Style" w:hAnsi="Bookman Old Style"/>
          <w:bCs/>
          <w:sz w:val="22"/>
          <w:szCs w:val="22"/>
        </w:rPr>
        <w:t xml:space="preserve">FEBBRAIO </w:t>
      </w:r>
      <w:r w:rsidRPr="002955FD">
        <w:rPr>
          <w:rStyle w:val="Heading2Char"/>
          <w:rFonts w:ascii="Bookman Old Style" w:hAnsi="Bookman Old Style"/>
          <w:bCs/>
          <w:sz w:val="22"/>
          <w:szCs w:val="22"/>
        </w:rPr>
        <w:t>201</w:t>
      </w:r>
      <w:bookmarkEnd w:id="58"/>
      <w:bookmarkEnd w:id="59"/>
      <w:bookmarkEnd w:id="60"/>
      <w:r>
        <w:rPr>
          <w:rStyle w:val="Heading2Char"/>
          <w:rFonts w:ascii="Bookman Old Style" w:hAnsi="Bookman Old Style"/>
          <w:bCs/>
          <w:sz w:val="22"/>
          <w:szCs w:val="22"/>
        </w:rPr>
        <w:t>8</w:t>
      </w:r>
      <w:bookmarkEnd w:id="61"/>
      <w:r w:rsidRPr="002955FD">
        <w:rPr>
          <w:rFonts w:ascii="Bookman Old Style" w:hAnsi="Bookman Old Style"/>
          <w:sz w:val="22"/>
          <w:szCs w:val="22"/>
        </w:rPr>
        <w:t>:</w:t>
      </w:r>
      <w:bookmarkEnd w:id="62"/>
      <w:bookmarkEnd w:id="63"/>
      <w:bookmarkEnd w:id="64"/>
      <w:bookmarkEnd w:id="65"/>
    </w:p>
    <w:p w:rsidR="006649DC" w:rsidRPr="002955FD" w:rsidRDefault="006649DC" w:rsidP="00D0270A">
      <w:pPr>
        <w:pBdr>
          <w:top w:val="single" w:sz="4" w:space="1" w:color="auto"/>
          <w:left w:val="single" w:sz="4" w:space="4" w:color="auto"/>
          <w:bottom w:val="single" w:sz="4" w:space="1" w:color="auto"/>
          <w:right w:val="single" w:sz="4" w:space="4" w:color="auto"/>
        </w:pBdr>
        <w:shd w:val="clear" w:color="auto" w:fill="FFFFCC"/>
        <w:jc w:val="center"/>
        <w:rPr>
          <w:rFonts w:ascii="Bookman Old Style" w:hAnsi="Bookman Old Style"/>
          <w:sz w:val="22"/>
          <w:szCs w:val="22"/>
        </w:rPr>
      </w:pPr>
      <w:bookmarkStart w:id="66" w:name="_Toc448485268"/>
      <w:bookmarkStart w:id="67" w:name="_Toc448485392"/>
      <w:bookmarkStart w:id="68" w:name="_Toc448485531"/>
      <w:bookmarkStart w:id="69" w:name="_Toc448485659"/>
      <w:r w:rsidRPr="002955FD">
        <w:rPr>
          <w:rFonts w:ascii="Bookman Old Style" w:hAnsi="Bookman Old Style"/>
          <w:sz w:val="22"/>
          <w:szCs w:val="22"/>
        </w:rPr>
        <w:t>alcune delle principali scadenze fiscali del mese</w:t>
      </w:r>
      <w:bookmarkEnd w:id="66"/>
      <w:bookmarkEnd w:id="67"/>
      <w:bookmarkEnd w:id="68"/>
      <w:bookmarkEnd w:id="69"/>
    </w:p>
    <w:p w:rsidR="006649DC" w:rsidRPr="002955FD" w:rsidRDefault="006649DC" w:rsidP="002955FD">
      <w:pPr>
        <w:jc w:val="both"/>
        <w:rPr>
          <w:rFonts w:ascii="Bookman Old Style" w:hAnsi="Bookman Old Style"/>
          <w:b/>
          <w:sz w:val="22"/>
          <w:szCs w:val="22"/>
        </w:rPr>
      </w:pPr>
    </w:p>
    <w:p w:rsidR="006649DC" w:rsidRPr="002955FD" w:rsidRDefault="006649DC" w:rsidP="002955FD">
      <w:pPr>
        <w:jc w:val="both"/>
        <w:rPr>
          <w:rFonts w:ascii="Bookman Old Style" w:hAnsi="Bookman Old Style"/>
          <w:b/>
          <w:sz w:val="22"/>
          <w:szCs w:val="22"/>
        </w:rPr>
      </w:pPr>
    </w:p>
    <w:p w:rsidR="006649DC" w:rsidRPr="002955FD" w:rsidRDefault="006649DC" w:rsidP="002955FD">
      <w:pPr>
        <w:pBdr>
          <w:top w:val="single" w:sz="4" w:space="1" w:color="auto"/>
          <w:left w:val="single" w:sz="4" w:space="4" w:color="auto"/>
          <w:bottom w:val="single" w:sz="4" w:space="1" w:color="auto"/>
          <w:right w:val="single" w:sz="4" w:space="4" w:color="auto"/>
        </w:pBdr>
        <w:ind w:left="1416"/>
        <w:jc w:val="both"/>
        <w:rPr>
          <w:rFonts w:ascii="Bookman Old Style" w:hAnsi="Bookman Old Style"/>
          <w:b/>
          <w:color w:val="FF0000"/>
          <w:sz w:val="22"/>
          <w:szCs w:val="22"/>
        </w:rPr>
      </w:pPr>
      <w:r w:rsidRPr="002955FD">
        <w:rPr>
          <w:rFonts w:ascii="Bookman Old Style" w:hAnsi="Bookman Old Style"/>
          <w:b/>
          <w:color w:val="FF0000"/>
          <w:sz w:val="22"/>
          <w:szCs w:val="22"/>
        </w:rPr>
        <w:t>Attenzione</w:t>
      </w:r>
    </w:p>
    <w:p w:rsidR="006649DC" w:rsidRPr="002955FD" w:rsidRDefault="006649DC" w:rsidP="002955FD">
      <w:pPr>
        <w:pBdr>
          <w:top w:val="single" w:sz="4" w:space="1" w:color="auto"/>
          <w:left w:val="single" w:sz="4" w:space="4" w:color="auto"/>
          <w:bottom w:val="single" w:sz="4" w:space="1" w:color="auto"/>
          <w:right w:val="single" w:sz="4" w:space="4" w:color="auto"/>
        </w:pBdr>
        <w:ind w:left="1416"/>
        <w:jc w:val="both"/>
        <w:rPr>
          <w:rFonts w:ascii="Bookman Old Style" w:hAnsi="Bookman Old Style"/>
          <w:sz w:val="22"/>
          <w:szCs w:val="22"/>
        </w:rPr>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539" o:spid="_x0000_s1026" type="#_x0000_t93" style="position:absolute;left:0;text-align:left;margin-left:-10.2pt;margin-top:-10.15pt;width:63pt;height: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" fillcolor="red"/>
        </w:pict>
      </w:r>
      <w:r w:rsidRPr="002955FD">
        <w:rPr>
          <w:rFonts w:ascii="Bookman Old Style" w:hAnsi="Bookman Old Style"/>
          <w:sz w:val="22"/>
          <w:szCs w:val="22"/>
        </w:rPr>
        <w:t xml:space="preserve">Gli adempimenti fiscali e previdenziali </w:t>
      </w:r>
      <w:r w:rsidRPr="002955FD">
        <w:rPr>
          <w:rFonts w:ascii="Bookman Old Style" w:hAnsi="Bookman Old Style"/>
          <w:b/>
          <w:sz w:val="22"/>
          <w:szCs w:val="22"/>
        </w:rPr>
        <w:t>scadenti di sabato o di giorno festivo</w:t>
      </w:r>
      <w:r w:rsidRPr="002955FD">
        <w:rPr>
          <w:rFonts w:ascii="Bookman Old Style" w:hAnsi="Bookman Old Style"/>
          <w:sz w:val="22"/>
          <w:szCs w:val="22"/>
        </w:rPr>
        <w:t xml:space="preserve"> sono considerati tempestivi se posti in essere il primo giorno lavorativo successivo (art. 2963, co. 3 del Codice civile; art. 18, co. 1 del D.Lgs. 241/1997; art. 2, co. 9 del D.P.R. 322/1998; art. 6, co. 8 del D.L. 330/1994).</w:t>
      </w:r>
    </w:p>
    <w:p w:rsidR="006649DC" w:rsidRPr="002955FD" w:rsidRDefault="006649DC" w:rsidP="002955FD">
      <w:pPr>
        <w:pBdr>
          <w:top w:val="single" w:sz="4" w:space="1" w:color="auto"/>
          <w:left w:val="single" w:sz="4" w:space="4" w:color="auto"/>
          <w:bottom w:val="single" w:sz="4" w:space="1" w:color="auto"/>
          <w:right w:val="single" w:sz="4" w:space="4" w:color="auto"/>
        </w:pBdr>
        <w:ind w:left="1416"/>
        <w:jc w:val="both"/>
        <w:rPr>
          <w:rFonts w:ascii="Bookman Old Style" w:hAnsi="Bookman Old Style"/>
          <w:color w:val="122644"/>
          <w:sz w:val="22"/>
          <w:szCs w:val="22"/>
        </w:rPr>
      </w:pPr>
      <w:r w:rsidRPr="002955FD">
        <w:rPr>
          <w:rFonts w:ascii="Bookman Old Style" w:hAnsi="Bookman Old Style"/>
          <w:sz w:val="22"/>
          <w:szCs w:val="22"/>
        </w:rPr>
        <w:t>Detta regola riguarda anche la presentazione dei</w:t>
      </w:r>
      <w:r>
        <w:rPr>
          <w:rFonts w:ascii="Bookman Old Style" w:hAnsi="Bookman Old Style"/>
          <w:sz w:val="22"/>
          <w:szCs w:val="22"/>
        </w:rPr>
        <w:t xml:space="preserve"> </w:t>
      </w:r>
      <w:r w:rsidRPr="002955FD">
        <w:rPr>
          <w:rFonts w:ascii="Bookman Old Style" w:hAnsi="Bookman Old Style"/>
          <w:sz w:val="22"/>
          <w:szCs w:val="22"/>
          <w:u w:val="single"/>
        </w:rPr>
        <w:t>modelli INTRASTAT</w:t>
      </w:r>
      <w:r w:rsidRPr="002955FD">
        <w:rPr>
          <w:rFonts w:ascii="Bookman Old Style" w:hAnsi="Bookman Old Style"/>
          <w:sz w:val="22"/>
          <w:szCs w:val="22"/>
        </w:rPr>
        <w:t xml:space="preserve">, ancorché gli uffici doganali al sabato siano aperti: si tratta di una modifica intervenuta con l’art. 7, co. 2, lett. l), D.L. 70/2011 (cd. Decreto Sviluppo). Così, a decorrere </w:t>
      </w:r>
      <w:r w:rsidRPr="002955FD">
        <w:rPr>
          <w:rFonts w:ascii="Bookman Old Style" w:hAnsi="Bookman Old Style"/>
          <w:sz w:val="22"/>
          <w:szCs w:val="22"/>
          <w:u w:val="single"/>
        </w:rPr>
        <w:t>dal 14 maggio 2011</w:t>
      </w:r>
      <w:r w:rsidRPr="002955FD">
        <w:rPr>
          <w:rFonts w:ascii="Bookman Old Style" w:hAnsi="Bookman Old Style"/>
          <w:sz w:val="22"/>
          <w:szCs w:val="22"/>
        </w:rPr>
        <w:t xml:space="preserve"> si deve intendere superata l’interpretazione fornita con la Circ. 60/D/1999 secondo la quale la scadenza di sabato non faceva slittare l’invio al giorno lavorativo successivo.</w:t>
      </w:r>
      <w:r>
        <w:rPr>
          <w:rFonts w:ascii="Bookman Old Style" w:hAnsi="Bookman Old Style"/>
          <w:sz w:val="22"/>
          <w:szCs w:val="22"/>
        </w:rPr>
        <w:t xml:space="preserve"> </w:t>
      </w:r>
      <w:r w:rsidRPr="002955FD">
        <w:rPr>
          <w:rFonts w:ascii="Bookman Old Style" w:hAnsi="Bookman Old Style"/>
          <w:sz w:val="22"/>
          <w:szCs w:val="22"/>
        </w:rPr>
        <w:t xml:space="preserve">Fa eccezione la </w:t>
      </w:r>
      <w:r w:rsidRPr="002955FD">
        <w:rPr>
          <w:rFonts w:ascii="Bookman Old Style" w:hAnsi="Bookman Old Style"/>
          <w:sz w:val="22"/>
          <w:szCs w:val="22"/>
          <w:u w:val="single"/>
        </w:rPr>
        <w:t>Dichiarazione IVA MOSS</w:t>
      </w:r>
      <w:r w:rsidRPr="002955FD">
        <w:rPr>
          <w:rFonts w:ascii="Bookman Old Style" w:hAnsi="Bookman Old Style"/>
          <w:sz w:val="22"/>
          <w:szCs w:val="22"/>
        </w:rPr>
        <w:t xml:space="preserve"> che ha cadenza trimestrale e deve essere presentata entro 20 giorni dalla fine del trimestre al quale si riferisce (il termine rimane invariato anche qualora cada nel fine settimana o in un giorno festivo). Le scadenze per presentare la dichiarazione MOSS sono, quindi, le seguenti: 20 aprile, per il trimestre che termina il 31 marzo; 20 luglio, per il trimestre che termina il 30 giugno; 20 ottobre, per il trimestre che termina il 30 settembre; 20 gennaio, per il trimestre che termina il 31 dicembre.</w:t>
      </w:r>
    </w:p>
    <w:p w:rsidR="006649DC" w:rsidRPr="002955FD" w:rsidRDefault="006649DC" w:rsidP="002955FD">
      <w:pPr>
        <w:pBdr>
          <w:top w:val="single" w:sz="4" w:space="1" w:color="auto"/>
          <w:left w:val="single" w:sz="4" w:space="4" w:color="auto"/>
          <w:bottom w:val="single" w:sz="4" w:space="1" w:color="auto"/>
          <w:right w:val="single" w:sz="4" w:space="4" w:color="auto"/>
        </w:pBdr>
        <w:ind w:left="1416"/>
        <w:jc w:val="both"/>
        <w:rPr>
          <w:rFonts w:ascii="Bookman Old Style" w:hAnsi="Bookman Old Style"/>
          <w:sz w:val="22"/>
          <w:szCs w:val="22"/>
        </w:rPr>
      </w:pPr>
      <w:r w:rsidRPr="002955FD">
        <w:rPr>
          <w:rFonts w:ascii="Bookman Old Style" w:hAnsi="Bookman Old Style"/>
          <w:sz w:val="22"/>
          <w:szCs w:val="22"/>
        </w:rPr>
        <w:t xml:space="preserve">In base all’art. 3-quater, D.L. 2.3.2012, n. 16 (cd. Decreto Semplificazioni fiscali), </w:t>
      </w:r>
      <w:r w:rsidRPr="002955FD">
        <w:rPr>
          <w:rFonts w:ascii="Bookman Old Style" w:hAnsi="Bookman Old Style"/>
          <w:b/>
          <w:sz w:val="22"/>
          <w:szCs w:val="22"/>
        </w:rPr>
        <w:t>gli adempimenti fiscali e i versamenti</w:t>
      </w:r>
      <w:r w:rsidRPr="002955FD">
        <w:rPr>
          <w:rFonts w:ascii="Bookman Old Style" w:hAnsi="Bookman Old Style"/>
          <w:sz w:val="22"/>
          <w:szCs w:val="22"/>
        </w:rPr>
        <w:t xml:space="preserve"> di cui agli artt. 17 e 20, co. 4, D.Lgs. 241/1997 (imposte, contributi Inps e altre somme a favore dello Stato, Regioni ed enti previdenziali), anche per rate </w:t>
      </w:r>
      <w:r w:rsidRPr="002955FD">
        <w:rPr>
          <w:rFonts w:ascii="Bookman Old Style" w:hAnsi="Bookman Old Style"/>
          <w:b/>
          <w:sz w:val="22"/>
          <w:szCs w:val="22"/>
        </w:rPr>
        <w:t xml:space="preserve">con scadenza dal 1° al 20 agosto </w:t>
      </w:r>
      <w:r w:rsidRPr="002955FD">
        <w:rPr>
          <w:rFonts w:ascii="Bookman Old Style" w:hAnsi="Bookman Old Style"/>
          <w:sz w:val="22"/>
          <w:szCs w:val="22"/>
        </w:rPr>
        <w:t>di ogni anno (si tratta, quindi, di una norma a regime), possono essere effettuati, senza maggiorazione, entro il 20 agosto (nuovo co. 11-bis dell’art. 37, D.L. 223/2006).</w:t>
      </w:r>
    </w:p>
    <w:p w:rsidR="006649DC" w:rsidRPr="002955FD" w:rsidRDefault="006649DC" w:rsidP="002955FD">
      <w:pPr>
        <w:pBdr>
          <w:top w:val="single" w:sz="4" w:space="1" w:color="auto"/>
          <w:left w:val="single" w:sz="4" w:space="4" w:color="auto"/>
          <w:bottom w:val="single" w:sz="4" w:space="1" w:color="auto"/>
          <w:right w:val="single" w:sz="4" w:space="4" w:color="auto"/>
        </w:pBdr>
        <w:ind w:left="1416"/>
        <w:jc w:val="both"/>
        <w:rPr>
          <w:rFonts w:ascii="Bookman Old Style" w:hAnsi="Bookman Old Style"/>
          <w:sz w:val="22"/>
          <w:szCs w:val="22"/>
        </w:rPr>
      </w:pPr>
      <w:r w:rsidRPr="002955FD">
        <w:rPr>
          <w:rFonts w:ascii="Bookman Old Style" w:hAnsi="Bookman Old Style"/>
          <w:sz w:val="22"/>
          <w:szCs w:val="22"/>
        </w:rPr>
        <w:t xml:space="preserve">I soggetti titolari di partita Iva effettuano i versamenti col </w:t>
      </w:r>
      <w:r w:rsidRPr="002955FD">
        <w:rPr>
          <w:rFonts w:ascii="Bookman Old Style" w:hAnsi="Bookman Old Style"/>
          <w:b/>
          <w:sz w:val="22"/>
          <w:szCs w:val="22"/>
        </w:rPr>
        <w:t>modello F24 in via telematica</w:t>
      </w:r>
      <w:r w:rsidRPr="002955FD">
        <w:rPr>
          <w:rFonts w:ascii="Bookman Old Style" w:hAnsi="Bookman Old Style"/>
          <w:sz w:val="22"/>
          <w:szCs w:val="22"/>
        </w:rPr>
        <w:t xml:space="preserve"> ai sensi dell'art. 37 co. 49, D.L. 4 luglio 2006, n. 223.</w:t>
      </w:r>
    </w:p>
    <w:p w:rsidR="006649DC" w:rsidRPr="002955FD" w:rsidRDefault="006649DC" w:rsidP="002955FD">
      <w:pPr>
        <w:autoSpaceDE w:val="0"/>
        <w:spacing w:line="340" w:lineRule="exact"/>
        <w:jc w:val="both"/>
        <w:rPr>
          <w:rFonts w:ascii="Bookman Old Style" w:hAnsi="Bookman Old Style"/>
          <w:sz w:val="22"/>
          <w:szCs w:val="22"/>
        </w:rPr>
      </w:pPr>
    </w:p>
    <w:p w:rsidR="006649DC" w:rsidRPr="002955FD" w:rsidRDefault="006649DC" w:rsidP="002955FD">
      <w:pPr>
        <w:pStyle w:val="Corpotesto1"/>
        <w:rPr>
          <w:b/>
          <w:szCs w:val="22"/>
          <w:u w:val="single"/>
        </w:rPr>
      </w:pPr>
    </w:p>
    <w:p w:rsidR="006649DC" w:rsidRPr="002955FD" w:rsidRDefault="006649DC" w:rsidP="002955FD">
      <w:pPr>
        <w:pStyle w:val="Corpotesto1"/>
        <w:rPr>
          <w:b/>
          <w:szCs w:val="22"/>
          <w:u w:val="single"/>
        </w:rPr>
      </w:pPr>
    </w:p>
    <w:p w:rsidR="006649DC" w:rsidRPr="002955FD" w:rsidRDefault="006649DC" w:rsidP="002955FD">
      <w:pPr>
        <w:pStyle w:val="Corpotesto1"/>
        <w:rPr>
          <w:b/>
          <w:szCs w:val="22"/>
          <w:u w:val="single"/>
        </w:rPr>
      </w:pPr>
    </w:p>
    <w:p w:rsidR="006649DC" w:rsidRPr="002955FD" w:rsidRDefault="006649DC" w:rsidP="002955FD">
      <w:pPr>
        <w:pStyle w:val="Corpotesto1"/>
        <w:rPr>
          <w:b/>
          <w:szCs w:val="22"/>
          <w:u w:val="single"/>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962730" w:rsidRDefault="006649DC" w:rsidP="002955FD">
      <w:pPr>
        <w:pStyle w:val="Corpotesto1"/>
        <w:rPr>
          <w:rFonts w:cs="Georgia"/>
          <w:b/>
          <w:szCs w:val="22"/>
        </w:rPr>
      </w:pPr>
    </w:p>
    <w:p w:rsidR="006649DC" w:rsidRDefault="006649DC" w:rsidP="002955FD">
      <w:pPr>
        <w:jc w:val="both"/>
        <w:rPr>
          <w:rFonts w:ascii="Bookman Old Style" w:hAnsi="Bookman Old Style"/>
          <w:sz w:val="22"/>
          <w:szCs w:val="22"/>
        </w:rPr>
      </w:pPr>
    </w:p>
    <w:p w:rsidR="006649DC" w:rsidRPr="00962730" w:rsidRDefault="006649DC" w:rsidP="00962730">
      <w:pPr>
        <w:jc w:val="both"/>
        <w:rPr>
          <w:rFonts w:ascii="Bookman Old Style" w:hAnsi="Bookman Old Style"/>
          <w:sz w:val="22"/>
          <w:szCs w:val="22"/>
        </w:rPr>
      </w:pPr>
    </w:p>
    <w:p w:rsidR="006649DC" w:rsidRDefault="006649DC" w:rsidP="0047617D">
      <w:pPr>
        <w:pStyle w:val="Corpotesto1"/>
        <w:jc w:val="center"/>
        <w:rPr>
          <w:b/>
          <w:szCs w:val="22"/>
          <w:u w:val="single"/>
        </w:rPr>
      </w:pPr>
    </w:p>
    <w:p w:rsidR="006649DC" w:rsidRPr="002955FD" w:rsidRDefault="006649DC" w:rsidP="0047617D">
      <w:pPr>
        <w:pStyle w:val="Corpotesto1"/>
        <w:jc w:val="center"/>
        <w:rPr>
          <w:b/>
          <w:szCs w:val="22"/>
          <w:u w:val="single"/>
        </w:rPr>
      </w:pPr>
      <w:r>
        <w:rPr>
          <w:b/>
          <w:szCs w:val="22"/>
          <w:u w:val="single"/>
        </w:rPr>
        <w:t>16 FEBBRAIO</w:t>
      </w:r>
    </w:p>
    <w:p w:rsidR="006649DC" w:rsidRPr="00962730" w:rsidRDefault="006649DC" w:rsidP="00962730"/>
    <w:p w:rsidR="006649DC" w:rsidRPr="002955FD" w:rsidRDefault="006649DC" w:rsidP="00764037">
      <w:pPr>
        <w:pStyle w:val="Corpotesto1"/>
        <w:rPr>
          <w:b/>
          <w:szCs w:val="22"/>
        </w:rPr>
      </w:pPr>
      <w:r w:rsidRPr="002955FD">
        <w:rPr>
          <w:b/>
          <w:szCs w:val="22"/>
        </w:rPr>
        <w:t>IVA - LIQUIDAZIONE PERIODICA - SOGGETTI MENSILI</w:t>
      </w:r>
      <w:r>
        <w:rPr>
          <w:b/>
          <w:szCs w:val="22"/>
        </w:rPr>
        <w:t xml:space="preserve"> </w:t>
      </w:r>
    </w:p>
    <w:p w:rsidR="006649DC" w:rsidRDefault="006649DC" w:rsidP="00764037">
      <w:pPr>
        <w:jc w:val="both"/>
        <w:rPr>
          <w:rFonts w:ascii="Bookman Old Style" w:hAnsi="Bookman Old Style"/>
          <w:sz w:val="22"/>
          <w:szCs w:val="22"/>
        </w:rPr>
      </w:pPr>
      <w:r w:rsidRPr="002955FD">
        <w:rPr>
          <w:rFonts w:ascii="Bookman Old Style" w:hAnsi="Bookman Old Style"/>
          <w:sz w:val="22"/>
          <w:szCs w:val="22"/>
        </w:rPr>
        <w:t>Versamento dell'IVA a debito presso gli istituti o le aziende di credito o gli uffici e le agenzie postali o i concessionari della riscossione con l'utilizzo del mod. F24 - codice tributo</w:t>
      </w:r>
      <w:r w:rsidRPr="00347EDC">
        <w:rPr>
          <w:rFonts w:ascii="Bookman Old Style" w:hAnsi="Bookman Old Style"/>
          <w:sz w:val="22"/>
          <w:szCs w:val="22"/>
        </w:rPr>
        <w:t>: 60</w:t>
      </w:r>
      <w:r>
        <w:rPr>
          <w:rFonts w:ascii="Bookman Old Style" w:hAnsi="Bookman Old Style"/>
          <w:sz w:val="22"/>
          <w:szCs w:val="22"/>
        </w:rPr>
        <w:t>12</w:t>
      </w:r>
      <w:r w:rsidRPr="00347EDC">
        <w:rPr>
          <w:rFonts w:ascii="Bookman Old Style" w:hAnsi="Bookman Old Style"/>
          <w:sz w:val="22"/>
          <w:szCs w:val="22"/>
        </w:rPr>
        <w:t xml:space="preserve"> (versamento Iva mensile - </w:t>
      </w:r>
      <w:r>
        <w:rPr>
          <w:rFonts w:ascii="Bookman Old Style" w:hAnsi="Bookman Old Style"/>
          <w:sz w:val="22"/>
          <w:szCs w:val="22"/>
        </w:rPr>
        <w:t>Dicembre</w:t>
      </w:r>
      <w:r w:rsidRPr="00347EDC">
        <w:rPr>
          <w:rFonts w:ascii="Bookman Old Style" w:hAnsi="Bookman Old Style"/>
          <w:sz w:val="22"/>
          <w:szCs w:val="22"/>
        </w:rPr>
        <w:t>)</w:t>
      </w:r>
      <w:r>
        <w:rPr>
          <w:rFonts w:ascii="Bookman Old Style" w:hAnsi="Bookman Old Style"/>
          <w:sz w:val="22"/>
          <w:szCs w:val="22"/>
        </w:rPr>
        <w:t>.</w:t>
      </w:r>
    </w:p>
    <w:p w:rsidR="006649DC" w:rsidRDefault="006649DC" w:rsidP="00764037">
      <w:pPr>
        <w:jc w:val="both"/>
        <w:rPr>
          <w:rFonts w:ascii="Bookman Old Style" w:hAnsi="Bookman Old Style"/>
          <w:sz w:val="22"/>
          <w:szCs w:val="22"/>
        </w:rPr>
      </w:pPr>
    </w:p>
    <w:p w:rsidR="006649DC" w:rsidRPr="002955FD" w:rsidRDefault="006649DC" w:rsidP="00EC1B8A">
      <w:pPr>
        <w:pStyle w:val="Corpotesto1"/>
        <w:rPr>
          <w:b/>
          <w:szCs w:val="22"/>
        </w:rPr>
      </w:pPr>
      <w:r w:rsidRPr="002955FD">
        <w:rPr>
          <w:b/>
          <w:szCs w:val="22"/>
        </w:rPr>
        <w:t xml:space="preserve">IVA - LIQUIDAZIONE PERIODICA - SOGGETTI </w:t>
      </w:r>
      <w:r>
        <w:rPr>
          <w:b/>
          <w:szCs w:val="22"/>
        </w:rPr>
        <w:t>TRIMESTRALI</w:t>
      </w:r>
    </w:p>
    <w:p w:rsidR="006649DC" w:rsidRDefault="006649DC" w:rsidP="00EC1B8A">
      <w:pPr>
        <w:jc w:val="both"/>
        <w:rPr>
          <w:rFonts w:ascii="Bookman Old Style" w:hAnsi="Bookman Old Style"/>
          <w:sz w:val="22"/>
          <w:szCs w:val="22"/>
        </w:rPr>
      </w:pPr>
      <w:r w:rsidRPr="002955FD">
        <w:rPr>
          <w:rFonts w:ascii="Bookman Old Style" w:hAnsi="Bookman Old Style"/>
          <w:sz w:val="22"/>
          <w:szCs w:val="22"/>
        </w:rPr>
        <w:t>Versamento dell'IVA a debito presso gli istituti o le aziende di credito o gli uffici e le agenzie postali o i concessionari della riscossione con l'utilizzo del mod. F24 - codice tributo</w:t>
      </w:r>
      <w:r w:rsidRPr="00347EDC">
        <w:rPr>
          <w:rFonts w:ascii="Bookman Old Style" w:hAnsi="Bookman Old Style"/>
          <w:sz w:val="22"/>
          <w:szCs w:val="22"/>
        </w:rPr>
        <w:t>: 60</w:t>
      </w:r>
      <w:r>
        <w:rPr>
          <w:rFonts w:ascii="Bookman Old Style" w:hAnsi="Bookman Old Style"/>
          <w:sz w:val="22"/>
          <w:szCs w:val="22"/>
        </w:rPr>
        <w:t xml:space="preserve">34 </w:t>
      </w:r>
      <w:r w:rsidRPr="00347EDC">
        <w:rPr>
          <w:rFonts w:ascii="Bookman Old Style" w:hAnsi="Bookman Old Style"/>
          <w:sz w:val="22"/>
          <w:szCs w:val="22"/>
        </w:rPr>
        <w:t xml:space="preserve">(versamento Iva </w:t>
      </w:r>
      <w:r>
        <w:rPr>
          <w:rFonts w:ascii="Bookman Old Style" w:hAnsi="Bookman Old Style"/>
          <w:sz w:val="22"/>
          <w:szCs w:val="22"/>
        </w:rPr>
        <w:t>IV Trimestre</w:t>
      </w:r>
      <w:r w:rsidRPr="00347EDC">
        <w:rPr>
          <w:rFonts w:ascii="Bookman Old Style" w:hAnsi="Bookman Old Style"/>
          <w:sz w:val="22"/>
          <w:szCs w:val="22"/>
        </w:rPr>
        <w:t>)</w:t>
      </w:r>
      <w:r>
        <w:rPr>
          <w:rFonts w:ascii="Bookman Old Style" w:hAnsi="Bookman Old Style"/>
          <w:sz w:val="22"/>
          <w:szCs w:val="22"/>
        </w:rPr>
        <w:t>.</w:t>
      </w:r>
    </w:p>
    <w:p w:rsidR="006649DC" w:rsidRDefault="006649DC" w:rsidP="00764037">
      <w:pPr>
        <w:jc w:val="both"/>
        <w:rPr>
          <w:rFonts w:ascii="Bookman Old Style" w:hAnsi="Bookman Old Style"/>
          <w:sz w:val="22"/>
          <w:szCs w:val="22"/>
        </w:rPr>
      </w:pPr>
    </w:p>
    <w:p w:rsidR="006649DC" w:rsidRDefault="006649DC" w:rsidP="00764037">
      <w:pPr>
        <w:pStyle w:val="Corpotesto1"/>
        <w:rPr>
          <w:b/>
          <w:szCs w:val="22"/>
        </w:rPr>
      </w:pPr>
    </w:p>
    <w:p w:rsidR="006649DC" w:rsidRPr="002955FD" w:rsidRDefault="006649DC" w:rsidP="00E463FC">
      <w:pPr>
        <w:pStyle w:val="Corpotesto1"/>
        <w:rPr>
          <w:b/>
          <w:szCs w:val="22"/>
        </w:rPr>
      </w:pPr>
      <w:r w:rsidRPr="002955FD">
        <w:rPr>
          <w:b/>
          <w:szCs w:val="22"/>
        </w:rPr>
        <w:t xml:space="preserve">RITENUTE ALLA FONTE </w:t>
      </w:r>
    </w:p>
    <w:p w:rsidR="006649DC" w:rsidRPr="002955FD" w:rsidRDefault="006649DC" w:rsidP="00E463FC">
      <w:pPr>
        <w:jc w:val="both"/>
        <w:rPr>
          <w:rFonts w:ascii="Bookman Old Style" w:hAnsi="Bookman Old Style"/>
          <w:sz w:val="22"/>
          <w:szCs w:val="22"/>
        </w:rPr>
      </w:pPr>
      <w:r w:rsidRPr="002955FD">
        <w:rPr>
          <w:rFonts w:ascii="Bookman Old Style" w:hAnsi="Bookman Old Style"/>
          <w:sz w:val="22"/>
          <w:szCs w:val="22"/>
        </w:rPr>
        <w:t>Versamento delle ritenute alla fonte operate nel corso del mese precedente (esempio: compensi per l'esercizio di arti e professioni - provvigioni per intermediazione - retribuzioni di lavoro dipendente) con utilizzo del mod. F24.</w:t>
      </w:r>
    </w:p>
    <w:p w:rsidR="006649DC" w:rsidRPr="002955FD" w:rsidRDefault="006649DC" w:rsidP="00E463FC">
      <w:pPr>
        <w:jc w:val="both"/>
        <w:rPr>
          <w:rFonts w:ascii="Bookman Old Style" w:hAnsi="Bookman Old Style"/>
          <w:bCs/>
          <w:sz w:val="22"/>
          <w:szCs w:val="22"/>
        </w:rPr>
      </w:pPr>
      <w:r w:rsidRPr="002955FD">
        <w:rPr>
          <w:rFonts w:ascii="Bookman Old Style" w:hAnsi="Bookman Old Style"/>
          <w:bCs/>
          <w:sz w:val="22"/>
          <w:szCs w:val="22"/>
        </w:rPr>
        <w:t xml:space="preserve">L’obbligo riguarda anche le ritenute operate da condomìni per le prestazioni derivanti da contratti di appalto e d’opera effettuate nell’esercizio di impresa, anche non abitualmente (codici tributo 1019 e 1020 quale acconto, rispettivamente, a titolo di Irpef e di Ires). </w:t>
      </w:r>
    </w:p>
    <w:p w:rsidR="006649DC" w:rsidRPr="002955FD" w:rsidRDefault="006649DC" w:rsidP="00E463FC">
      <w:pPr>
        <w:jc w:val="both"/>
        <w:rPr>
          <w:rFonts w:ascii="Bookman Old Style" w:hAnsi="Bookman Old Style"/>
          <w:sz w:val="22"/>
          <w:szCs w:val="22"/>
        </w:rPr>
      </w:pPr>
    </w:p>
    <w:p w:rsidR="006649DC" w:rsidRPr="002955FD" w:rsidRDefault="006649DC" w:rsidP="00E463FC">
      <w:pPr>
        <w:jc w:val="both"/>
        <w:rPr>
          <w:rFonts w:ascii="Bookman Old Style" w:hAnsi="Bookman Old Style"/>
          <w:bCs/>
          <w:sz w:val="22"/>
          <w:szCs w:val="22"/>
        </w:rPr>
      </w:pPr>
      <w:r w:rsidRPr="002955FD">
        <w:rPr>
          <w:rFonts w:ascii="Bookman Old Style" w:hAnsi="Bookman Old Style"/>
          <w:bCs/>
          <w:sz w:val="22"/>
          <w:szCs w:val="22"/>
        </w:rPr>
        <w:t>A titolo esemplificativo:</w:t>
      </w:r>
    </w:p>
    <w:p w:rsidR="006649DC" w:rsidRPr="002955FD" w:rsidRDefault="006649DC" w:rsidP="00E463FC">
      <w:pPr>
        <w:jc w:val="both"/>
        <w:rPr>
          <w:rFonts w:ascii="Bookman Old Style" w:hAnsi="Bookman Old Style"/>
          <w:bCs/>
          <w:sz w:val="22"/>
          <w:szCs w:val="22"/>
        </w:rPr>
      </w:pPr>
      <w:r w:rsidRPr="002955FD">
        <w:rPr>
          <w:rFonts w:ascii="Bookman Old Style" w:hAnsi="Bookman Old Style"/>
          <w:bCs/>
          <w:sz w:val="22"/>
          <w:szCs w:val="22"/>
        </w:rPr>
        <w:t>a) retribuzioni a dipendenti: 1001</w:t>
      </w:r>
    </w:p>
    <w:p w:rsidR="006649DC" w:rsidRPr="002955FD" w:rsidRDefault="006649DC" w:rsidP="00E463FC">
      <w:pPr>
        <w:jc w:val="both"/>
        <w:rPr>
          <w:rFonts w:ascii="Bookman Old Style" w:hAnsi="Bookman Old Style"/>
          <w:bCs/>
          <w:sz w:val="22"/>
          <w:szCs w:val="22"/>
        </w:rPr>
      </w:pPr>
      <w:r w:rsidRPr="002955FD">
        <w:rPr>
          <w:rFonts w:ascii="Bookman Old Style" w:hAnsi="Bookman Old Style"/>
          <w:bCs/>
          <w:sz w:val="22"/>
          <w:szCs w:val="22"/>
        </w:rPr>
        <w:t>b) arretrati di lavoro dipendente: 1002</w:t>
      </w:r>
    </w:p>
    <w:p w:rsidR="006649DC" w:rsidRPr="002955FD" w:rsidRDefault="006649DC" w:rsidP="00E463FC">
      <w:pPr>
        <w:jc w:val="both"/>
        <w:rPr>
          <w:rFonts w:ascii="Bookman Old Style" w:hAnsi="Bookman Old Style"/>
          <w:bCs/>
          <w:sz w:val="22"/>
          <w:szCs w:val="22"/>
        </w:rPr>
      </w:pPr>
      <w:r w:rsidRPr="002955FD">
        <w:rPr>
          <w:rFonts w:ascii="Bookman Old Style" w:hAnsi="Bookman Old Style"/>
          <w:bCs/>
          <w:sz w:val="22"/>
          <w:szCs w:val="22"/>
        </w:rPr>
        <w:t>c) ritenute su indennità per cessazione di rapporto di lavoro: 1012</w:t>
      </w:r>
    </w:p>
    <w:p w:rsidR="006649DC" w:rsidRPr="002955FD" w:rsidRDefault="006649DC" w:rsidP="00E463FC">
      <w:pPr>
        <w:jc w:val="both"/>
        <w:rPr>
          <w:rFonts w:ascii="Bookman Old Style" w:hAnsi="Bookman Old Style"/>
          <w:bCs/>
          <w:sz w:val="22"/>
          <w:szCs w:val="22"/>
        </w:rPr>
      </w:pPr>
      <w:r w:rsidRPr="002955FD">
        <w:rPr>
          <w:rFonts w:ascii="Bookman Old Style" w:hAnsi="Bookman Old Style"/>
          <w:bCs/>
          <w:sz w:val="22"/>
          <w:szCs w:val="22"/>
        </w:rPr>
        <w:t>d) ritenute sui redditi assimilati a quelli di lavoro dipendente: 100</w:t>
      </w:r>
      <w:r>
        <w:rPr>
          <w:rFonts w:ascii="Bookman Old Style" w:hAnsi="Bookman Old Style"/>
          <w:bCs/>
          <w:sz w:val="22"/>
          <w:szCs w:val="22"/>
        </w:rPr>
        <w:t>1</w:t>
      </w:r>
    </w:p>
    <w:p w:rsidR="006649DC" w:rsidRPr="002955FD" w:rsidRDefault="006649DC" w:rsidP="00E463FC">
      <w:pPr>
        <w:jc w:val="both"/>
        <w:rPr>
          <w:rFonts w:ascii="Bookman Old Style" w:hAnsi="Bookman Old Style"/>
          <w:bCs/>
          <w:sz w:val="22"/>
          <w:szCs w:val="22"/>
        </w:rPr>
      </w:pPr>
      <w:r w:rsidRPr="002955FD">
        <w:rPr>
          <w:rFonts w:ascii="Bookman Old Style" w:hAnsi="Bookman Old Style"/>
          <w:bCs/>
          <w:sz w:val="22"/>
          <w:szCs w:val="22"/>
        </w:rPr>
        <w:t>e) ritenute su redditi di lavoro autonomo e i compensi per l’esercizio di arti e professioni (inclusi i redditi derivanti da utilizzazione di marchi e opere dell’ingegno e i redditi erogati nell’esercizio diretto di attività sportive dilettantistiche): 1040</w:t>
      </w:r>
    </w:p>
    <w:p w:rsidR="006649DC" w:rsidRPr="002955FD" w:rsidRDefault="006649DC" w:rsidP="00E463FC">
      <w:pPr>
        <w:jc w:val="both"/>
        <w:rPr>
          <w:rFonts w:ascii="Bookman Old Style" w:hAnsi="Bookman Old Style"/>
          <w:bCs/>
          <w:sz w:val="22"/>
          <w:szCs w:val="22"/>
        </w:rPr>
      </w:pPr>
      <w:r w:rsidRPr="002955FD">
        <w:rPr>
          <w:rFonts w:ascii="Bookman Old Style" w:hAnsi="Bookman Old Style"/>
          <w:bCs/>
          <w:sz w:val="22"/>
          <w:szCs w:val="22"/>
        </w:rPr>
        <w:t>f) ritenute su provvigioni per rapporti di commissione, di agenzia, di mediazione e di rappresentanza: 10</w:t>
      </w:r>
      <w:r>
        <w:rPr>
          <w:rFonts w:ascii="Bookman Old Style" w:hAnsi="Bookman Old Style"/>
          <w:bCs/>
          <w:sz w:val="22"/>
          <w:szCs w:val="22"/>
        </w:rPr>
        <w:t>40</w:t>
      </w:r>
      <w:r w:rsidRPr="002955FD">
        <w:rPr>
          <w:rFonts w:ascii="Bookman Old Style" w:hAnsi="Bookman Old Style"/>
          <w:bCs/>
          <w:sz w:val="22"/>
          <w:szCs w:val="22"/>
        </w:rPr>
        <w:t>.</w:t>
      </w:r>
    </w:p>
    <w:p w:rsidR="006649DC" w:rsidRDefault="006649DC" w:rsidP="00537AF3">
      <w:pPr>
        <w:jc w:val="both"/>
        <w:rPr>
          <w:rFonts w:ascii="Bookman Old Style" w:hAnsi="Bookman Old Style"/>
          <w:sz w:val="22"/>
          <w:szCs w:val="22"/>
        </w:rPr>
      </w:pPr>
    </w:p>
    <w:p w:rsidR="006649DC" w:rsidRPr="00F10011" w:rsidRDefault="006649DC" w:rsidP="00537AF3">
      <w:pPr>
        <w:jc w:val="both"/>
        <w:rPr>
          <w:rFonts w:ascii="Bookman Old Style" w:hAnsi="Bookman Old Style"/>
          <w:b/>
          <w:sz w:val="22"/>
          <w:szCs w:val="22"/>
        </w:rPr>
      </w:pPr>
      <w:hyperlink r:id="rId8" w:history="1">
        <w:r w:rsidRPr="00F10011">
          <w:rPr>
            <w:rFonts w:ascii="Bookman Old Style" w:hAnsi="Bookman Old Style"/>
            <w:b/>
            <w:sz w:val="22"/>
            <w:szCs w:val="22"/>
          </w:rPr>
          <w:t>CONDOMINIO SOSTITUTO D'IMPOSTA - Versamento ritenute operate sui corrispettivi contratti di appalto di opere o servizi</w:t>
        </w:r>
      </w:hyperlink>
    </w:p>
    <w:p w:rsidR="006649DC" w:rsidRDefault="006649DC" w:rsidP="00537AF3">
      <w:pPr>
        <w:jc w:val="both"/>
        <w:rPr>
          <w:rFonts w:ascii="Bookman Old Style" w:hAnsi="Bookman Old Style"/>
          <w:sz w:val="22"/>
          <w:szCs w:val="22"/>
        </w:rPr>
      </w:pPr>
      <w:r>
        <w:rPr>
          <w:rFonts w:ascii="Bookman Old Style" w:hAnsi="Bookman Old Style"/>
          <w:sz w:val="22"/>
          <w:szCs w:val="22"/>
        </w:rPr>
        <w:t>Il</w:t>
      </w:r>
      <w:r w:rsidRPr="00537AF3">
        <w:rPr>
          <w:rFonts w:ascii="Bookman Old Style" w:hAnsi="Bookman Old Style"/>
          <w:sz w:val="22"/>
          <w:szCs w:val="22"/>
        </w:rPr>
        <w:t xml:space="preserve"> Condominio in qualità di sostituto d'imposta</w:t>
      </w:r>
      <w:r>
        <w:rPr>
          <w:rFonts w:ascii="Bookman Old Style" w:hAnsi="Bookman Old Style"/>
          <w:sz w:val="22"/>
          <w:szCs w:val="22"/>
        </w:rPr>
        <w:t xml:space="preserve"> deve versare le</w:t>
      </w:r>
      <w:r w:rsidRPr="00537AF3">
        <w:rPr>
          <w:rFonts w:ascii="Bookman Old Style" w:hAnsi="Bookman Old Style"/>
          <w:sz w:val="22"/>
          <w:szCs w:val="22"/>
        </w:rPr>
        <w:t xml:space="preserve"> ritenute operate sui corrispettivi corrisposti nel mese precedente per prestazioni relative a contratti di appalto di opere o servizi effettuate nell’esercizio di impresa, se l'ammontare delle ritenute raggiunge l'importo di 500,00 euro.</w:t>
      </w:r>
    </w:p>
    <w:p w:rsidR="006649DC" w:rsidRDefault="006649DC" w:rsidP="00475E89">
      <w:pPr>
        <w:jc w:val="both"/>
        <w:rPr>
          <w:rFonts w:ascii="Bookman Old Style" w:hAnsi="Bookman Old Style"/>
          <w:sz w:val="22"/>
          <w:szCs w:val="22"/>
        </w:rPr>
      </w:pPr>
      <w:r w:rsidRPr="002F62C4">
        <w:rPr>
          <w:rFonts w:ascii="Bookman Old Style" w:hAnsi="Bookman Old Style"/>
          <w:bCs/>
          <w:sz w:val="22"/>
          <w:szCs w:val="22"/>
        </w:rPr>
        <w:t>A decorrere dal 1° gennaio 2017</w:t>
      </w:r>
      <w:r w:rsidRPr="002F62C4">
        <w:rPr>
          <w:rFonts w:ascii="Bookman Old Style" w:hAnsi="Bookman Old Style"/>
          <w:sz w:val="22"/>
          <w:szCs w:val="22"/>
        </w:rPr>
        <w:t>, </w:t>
      </w:r>
      <w:r w:rsidRPr="002F62C4">
        <w:rPr>
          <w:rFonts w:ascii="Bookman Old Style" w:hAnsi="Bookman Old Style"/>
          <w:bCs/>
          <w:sz w:val="22"/>
          <w:szCs w:val="22"/>
        </w:rPr>
        <w:t>l’obbligo di versamento</w:t>
      </w:r>
      <w:r w:rsidRPr="002F62C4">
        <w:rPr>
          <w:rFonts w:ascii="Bookman Old Style" w:hAnsi="Bookman Old Style"/>
          <w:sz w:val="22"/>
          <w:szCs w:val="22"/>
        </w:rPr>
        <w:t> della ritenuta operata deve essere assolto dal condominio, quale sostituto d’imposta, </w:t>
      </w:r>
      <w:r w:rsidRPr="002F62C4">
        <w:rPr>
          <w:rFonts w:ascii="Bookman Old Style" w:hAnsi="Bookman Old Style"/>
          <w:bCs/>
          <w:sz w:val="22"/>
          <w:szCs w:val="22"/>
        </w:rPr>
        <w:t>quando l’ammontare delle ritenute operate raggiunge l’importo di 500,00 Euro</w:t>
      </w:r>
      <w:r w:rsidRPr="002F62C4">
        <w:rPr>
          <w:rFonts w:ascii="Bookman Old Style" w:hAnsi="Bookman Old Style"/>
          <w:sz w:val="22"/>
          <w:szCs w:val="22"/>
        </w:rPr>
        <w:t>. Tuttavia</w:t>
      </w:r>
      <w:r w:rsidRPr="00537AF3">
        <w:rPr>
          <w:rFonts w:ascii="Bookman Old Style" w:hAnsi="Bookman Old Style"/>
          <w:sz w:val="22"/>
          <w:szCs w:val="22"/>
        </w:rPr>
        <w:t>, nei casi in cui non sia raggiunto il predetto importo, il condominio è comunque tenuto all'obbligo di versamento e</w:t>
      </w:r>
      <w:r>
        <w:rPr>
          <w:rFonts w:ascii="Bookman Old Style" w:hAnsi="Bookman Old Style"/>
          <w:sz w:val="22"/>
          <w:szCs w:val="22"/>
        </w:rPr>
        <w:t xml:space="preserve">ntro </w:t>
      </w:r>
      <w:r w:rsidRPr="00537AF3">
        <w:rPr>
          <w:rFonts w:ascii="Bookman Old Style" w:hAnsi="Bookman Old Style"/>
          <w:sz w:val="22"/>
          <w:szCs w:val="22"/>
        </w:rPr>
        <w:t>il 30 giugno e</w:t>
      </w:r>
      <w:r>
        <w:rPr>
          <w:rFonts w:ascii="Bookman Old Style" w:hAnsi="Bookman Old Style"/>
          <w:sz w:val="22"/>
          <w:szCs w:val="22"/>
        </w:rPr>
        <w:t xml:space="preserve"> </w:t>
      </w:r>
      <w:r w:rsidRPr="00537AF3">
        <w:rPr>
          <w:rFonts w:ascii="Bookman Old Style" w:hAnsi="Bookman Old Style"/>
          <w:sz w:val="22"/>
          <w:szCs w:val="22"/>
        </w:rPr>
        <w:t>il 20 dicembre di ogni anno.</w:t>
      </w:r>
    </w:p>
    <w:p w:rsidR="006649DC" w:rsidRDefault="006649DC" w:rsidP="00537AF3">
      <w:pPr>
        <w:jc w:val="both"/>
        <w:rPr>
          <w:rFonts w:ascii="Bookman Old Style" w:hAnsi="Bookman Old Style"/>
          <w:sz w:val="22"/>
          <w:szCs w:val="22"/>
        </w:rPr>
      </w:pPr>
    </w:p>
    <w:p w:rsidR="006649DC" w:rsidRDefault="006649DC" w:rsidP="00537AF3">
      <w:pPr>
        <w:jc w:val="both"/>
        <w:rPr>
          <w:rFonts w:ascii="Bookman Old Style" w:hAnsi="Bookman Old Style"/>
          <w:sz w:val="22"/>
          <w:szCs w:val="22"/>
        </w:rPr>
      </w:pPr>
      <w:r>
        <w:rPr>
          <w:rFonts w:ascii="Bookman Old Style" w:hAnsi="Bookman Old Style"/>
          <w:sz w:val="22"/>
          <w:szCs w:val="22"/>
        </w:rPr>
        <w:t>Tramite</w:t>
      </w:r>
      <w:r w:rsidRPr="00537AF3">
        <w:rPr>
          <w:rFonts w:ascii="Bookman Old Style" w:hAnsi="Bookman Old Style"/>
          <w:sz w:val="22"/>
          <w:szCs w:val="22"/>
        </w:rPr>
        <w:t xml:space="preserve"> Modello F24 con modalità telematiche.</w:t>
      </w:r>
    </w:p>
    <w:p w:rsidR="006649DC" w:rsidRDefault="006649DC" w:rsidP="00537AF3">
      <w:pPr>
        <w:jc w:val="both"/>
        <w:rPr>
          <w:rFonts w:ascii="Bookman Old Style" w:hAnsi="Bookman Old Style"/>
          <w:sz w:val="22"/>
          <w:szCs w:val="22"/>
        </w:rPr>
      </w:pPr>
      <w:r>
        <w:rPr>
          <w:rFonts w:ascii="Bookman Old Style" w:hAnsi="Bookman Old Style"/>
          <w:sz w:val="22"/>
          <w:szCs w:val="22"/>
        </w:rPr>
        <w:t>Codici tributo:</w:t>
      </w:r>
    </w:p>
    <w:p w:rsidR="006649DC" w:rsidRDefault="006649DC" w:rsidP="00537AF3">
      <w:pPr>
        <w:jc w:val="both"/>
        <w:rPr>
          <w:rFonts w:ascii="Bookman Old Style" w:hAnsi="Bookman Old Style"/>
          <w:sz w:val="22"/>
          <w:szCs w:val="22"/>
        </w:rPr>
      </w:pPr>
      <w:r w:rsidRPr="00537AF3">
        <w:rPr>
          <w:rFonts w:ascii="Bookman Old Style" w:hAnsi="Bookman Old Style"/>
          <w:sz w:val="22"/>
          <w:szCs w:val="22"/>
        </w:rPr>
        <w:t>1019 - Ritenute del 4% operate dal condominio quale sostituto d’imposta a titolo di acconto dell’IRPEF dovuta dal percipiente.</w:t>
      </w:r>
    </w:p>
    <w:p w:rsidR="006649DC" w:rsidRPr="00537AF3" w:rsidRDefault="006649DC" w:rsidP="00537AF3">
      <w:pPr>
        <w:jc w:val="both"/>
        <w:rPr>
          <w:rFonts w:ascii="Bookman Old Style" w:hAnsi="Bookman Old Style"/>
          <w:sz w:val="22"/>
          <w:szCs w:val="22"/>
        </w:rPr>
      </w:pPr>
      <w:r w:rsidRPr="00537AF3">
        <w:rPr>
          <w:rFonts w:ascii="Bookman Old Style" w:hAnsi="Bookman Old Style"/>
          <w:sz w:val="22"/>
          <w:szCs w:val="22"/>
        </w:rPr>
        <w:t>1020 - Ritenute del 4% operate all’atto del pagamento da parte del condominio quale sostituto d’imposta a titolo d’acconto dell’IRES dovuta dal percipiente.</w:t>
      </w:r>
    </w:p>
    <w:p w:rsidR="006649DC" w:rsidRPr="00537AF3" w:rsidRDefault="006649DC" w:rsidP="00537AF3">
      <w:pPr>
        <w:jc w:val="both"/>
        <w:rPr>
          <w:rFonts w:ascii="Bookman Old Style" w:hAnsi="Bookman Old Style"/>
          <w:sz w:val="22"/>
          <w:szCs w:val="22"/>
        </w:rPr>
      </w:pPr>
    </w:p>
    <w:p w:rsidR="006649DC" w:rsidRPr="002955FD" w:rsidRDefault="006649DC" w:rsidP="00475E89">
      <w:pPr>
        <w:pStyle w:val="Corpotesto1"/>
        <w:rPr>
          <w:b/>
          <w:szCs w:val="22"/>
        </w:rPr>
      </w:pPr>
      <w:r w:rsidRPr="002955FD">
        <w:rPr>
          <w:b/>
          <w:szCs w:val="22"/>
        </w:rPr>
        <w:t>INPS - CONTRIBUTI PERSONALE DIPENDENTE</w:t>
      </w:r>
    </w:p>
    <w:p w:rsidR="006649DC" w:rsidRDefault="006649DC" w:rsidP="00475E89">
      <w:pPr>
        <w:jc w:val="both"/>
        <w:rPr>
          <w:rFonts w:ascii="Bookman Old Style" w:hAnsi="Bookman Old Style"/>
          <w:sz w:val="22"/>
          <w:szCs w:val="22"/>
        </w:rPr>
      </w:pPr>
      <w:r w:rsidRPr="002955FD">
        <w:rPr>
          <w:rFonts w:ascii="Bookman Old Style" w:hAnsi="Bookman Old Style"/>
          <w:sz w:val="22"/>
          <w:szCs w:val="22"/>
        </w:rPr>
        <w:t>Pagamento dei contributi dovuti sulle retribuzioni dei lavoratori dipendenti di competenza del precedente mese, mediante versamento presso gli istituti e le aziende di credito o gli uffici e le agenzie postali o i concessionari della riscossione con l'utilizzo del mod. F24.</w:t>
      </w:r>
    </w:p>
    <w:p w:rsidR="006649DC" w:rsidRPr="002955FD" w:rsidRDefault="006649DC" w:rsidP="00475E89">
      <w:pPr>
        <w:jc w:val="both"/>
        <w:rPr>
          <w:rFonts w:ascii="Bookman Old Style" w:hAnsi="Bookman Old Style"/>
          <w:sz w:val="22"/>
          <w:szCs w:val="22"/>
        </w:rPr>
      </w:pPr>
    </w:p>
    <w:p w:rsidR="006649DC" w:rsidRPr="002955FD" w:rsidRDefault="006649DC" w:rsidP="00475E89">
      <w:pPr>
        <w:pStyle w:val="Corpotesto1"/>
        <w:jc w:val="center"/>
        <w:rPr>
          <w:b/>
          <w:szCs w:val="22"/>
          <w:u w:val="single"/>
        </w:rPr>
      </w:pPr>
      <w:r>
        <w:rPr>
          <w:b/>
          <w:szCs w:val="22"/>
          <w:u w:val="single"/>
        </w:rPr>
        <w:t>26 FEBBRAIO</w:t>
      </w:r>
    </w:p>
    <w:p w:rsidR="006649DC" w:rsidRDefault="006649DC" w:rsidP="00475E89">
      <w:pPr>
        <w:jc w:val="both"/>
        <w:rPr>
          <w:rFonts w:ascii="Bookman Old Style" w:hAnsi="Bookman Old Style"/>
          <w:sz w:val="22"/>
          <w:szCs w:val="22"/>
        </w:rPr>
      </w:pPr>
    </w:p>
    <w:p w:rsidR="006649DC" w:rsidRPr="002955FD" w:rsidRDefault="006649DC" w:rsidP="00657FBB">
      <w:pPr>
        <w:pStyle w:val="Corpotesto1"/>
        <w:rPr>
          <w:b/>
          <w:szCs w:val="22"/>
        </w:rPr>
      </w:pPr>
      <w:r w:rsidRPr="002955FD">
        <w:rPr>
          <w:b/>
          <w:szCs w:val="22"/>
        </w:rPr>
        <w:t xml:space="preserve">INTRASTAT </w:t>
      </w:r>
      <w:r>
        <w:rPr>
          <w:b/>
          <w:szCs w:val="22"/>
        </w:rPr>
        <w:t>–</w:t>
      </w:r>
      <w:r w:rsidRPr="002955FD">
        <w:rPr>
          <w:b/>
          <w:szCs w:val="22"/>
        </w:rPr>
        <w:t xml:space="preserve"> mensili</w:t>
      </w:r>
      <w:r>
        <w:rPr>
          <w:b/>
          <w:szCs w:val="22"/>
        </w:rPr>
        <w:t xml:space="preserve"> </w:t>
      </w:r>
    </w:p>
    <w:p w:rsidR="006649DC" w:rsidRDefault="006649DC" w:rsidP="00657FBB">
      <w:pPr>
        <w:jc w:val="both"/>
        <w:rPr>
          <w:rFonts w:ascii="Bookman Old Style" w:hAnsi="Bookman Old Style"/>
          <w:sz w:val="22"/>
          <w:szCs w:val="22"/>
        </w:rPr>
      </w:pPr>
      <w:r w:rsidRPr="002955FD">
        <w:rPr>
          <w:rFonts w:ascii="Bookman Old Style" w:hAnsi="Bookman Old Style"/>
          <w:sz w:val="22"/>
          <w:szCs w:val="22"/>
        </w:rPr>
        <w:t>Presentazione, per via telematica, degli elenchi riepilogativi mensili delle cessioni</w:t>
      </w:r>
      <w:r>
        <w:rPr>
          <w:rFonts w:ascii="Bookman Old Style" w:hAnsi="Bookman Old Style"/>
          <w:sz w:val="22"/>
          <w:szCs w:val="22"/>
        </w:rPr>
        <w:t xml:space="preserve"> e acquisti</w:t>
      </w:r>
      <w:r w:rsidRPr="002955FD">
        <w:rPr>
          <w:rFonts w:ascii="Bookman Old Style" w:hAnsi="Bookman Old Style"/>
          <w:sz w:val="22"/>
          <w:szCs w:val="22"/>
        </w:rPr>
        <w:t xml:space="preserve"> </w:t>
      </w:r>
      <w:r w:rsidRPr="00347EDC">
        <w:rPr>
          <w:rFonts w:ascii="Bookman Old Style" w:hAnsi="Bookman Old Style"/>
          <w:sz w:val="22"/>
          <w:szCs w:val="22"/>
        </w:rPr>
        <w:t>intracomunitari di beni e servizi relativi al mese precedente.</w:t>
      </w:r>
    </w:p>
    <w:p w:rsidR="006649DC" w:rsidRDefault="006649DC" w:rsidP="008D75CD">
      <w:pPr>
        <w:jc w:val="both"/>
        <w:rPr>
          <w:rFonts w:ascii="Bookman Old Style" w:hAnsi="Bookman Old Style"/>
          <w:sz w:val="22"/>
          <w:szCs w:val="22"/>
        </w:rPr>
      </w:pPr>
    </w:p>
    <w:p w:rsidR="006649DC" w:rsidRPr="00041DF3" w:rsidRDefault="006649DC" w:rsidP="00041DF3">
      <w:pPr>
        <w:pStyle w:val="Corpotesto1"/>
        <w:numPr>
          <w:ilvl w:val="0"/>
          <w:numId w:val="27"/>
        </w:numPr>
        <w:jc w:val="center"/>
        <w:rPr>
          <w:b/>
          <w:szCs w:val="22"/>
          <w:u w:val="single"/>
        </w:rPr>
      </w:pPr>
      <w:r w:rsidRPr="00041DF3">
        <w:rPr>
          <w:b/>
          <w:szCs w:val="22"/>
          <w:u w:val="single"/>
        </w:rPr>
        <w:t>FEBBRAIO</w:t>
      </w:r>
    </w:p>
    <w:p w:rsidR="006649DC" w:rsidRDefault="006649DC" w:rsidP="008D75CD">
      <w:pPr>
        <w:jc w:val="both"/>
        <w:rPr>
          <w:rFonts w:ascii="Bookman Old Style" w:hAnsi="Bookman Old Style"/>
          <w:sz w:val="22"/>
          <w:szCs w:val="22"/>
        </w:rPr>
      </w:pPr>
    </w:p>
    <w:p w:rsidR="006649DC" w:rsidRDefault="006649DC" w:rsidP="00983715">
      <w:pPr>
        <w:pStyle w:val="Corpotesto1"/>
        <w:rPr>
          <w:b/>
          <w:szCs w:val="22"/>
        </w:rPr>
      </w:pPr>
      <w:r w:rsidRPr="002955FD">
        <w:rPr>
          <w:b/>
          <w:szCs w:val="22"/>
        </w:rPr>
        <w:t>RINNOVO CONTRATTI DI LOCAZIONE - IMPOSTA DI REGISTRO</w:t>
      </w:r>
    </w:p>
    <w:p w:rsidR="006649DC" w:rsidRDefault="006649DC" w:rsidP="00983715">
      <w:pPr>
        <w:pStyle w:val="Corpotesto1"/>
        <w:rPr>
          <w:szCs w:val="22"/>
        </w:rPr>
      </w:pPr>
      <w:r w:rsidRPr="00983715">
        <w:rPr>
          <w:szCs w:val="22"/>
        </w:rPr>
        <w:t xml:space="preserve">Scade il termine per il versamento dell'imposta di registro - pari al 2% del canone annuo - relativa ai contratti di locazione decorrenti (o rinnovati o per i quali ha inizio una nuova annualità) dal giorno 1 del mese (per la precisione, la scadenza è fissata entro 30 giorni dalla sottoscrizione). Per il versamento si utilizza il mod. F24 elide, scaricabile dalla sezione modulistica. I codici tributo da utilizzare sono: </w:t>
      </w:r>
    </w:p>
    <w:p w:rsidR="006649DC" w:rsidRDefault="006649DC" w:rsidP="00983715">
      <w:pPr>
        <w:pStyle w:val="Corpotesto1"/>
        <w:numPr>
          <w:ilvl w:val="0"/>
          <w:numId w:val="21"/>
        </w:numPr>
        <w:rPr>
          <w:szCs w:val="22"/>
        </w:rPr>
      </w:pPr>
      <w:r w:rsidRPr="00983715">
        <w:rPr>
          <w:b/>
          <w:bCs w:val="0"/>
          <w:szCs w:val="22"/>
        </w:rPr>
        <w:t>1500</w:t>
      </w:r>
      <w:r w:rsidRPr="00983715">
        <w:rPr>
          <w:szCs w:val="22"/>
        </w:rPr>
        <w:t xml:space="preserve"> Codice tributo- Imposta di registro per prima registrazione;</w:t>
      </w:r>
    </w:p>
    <w:p w:rsidR="006649DC" w:rsidRDefault="006649DC" w:rsidP="00983715">
      <w:pPr>
        <w:pStyle w:val="Corpotesto1"/>
        <w:numPr>
          <w:ilvl w:val="0"/>
          <w:numId w:val="21"/>
        </w:numPr>
        <w:rPr>
          <w:szCs w:val="22"/>
        </w:rPr>
      </w:pPr>
      <w:r w:rsidRPr="00983715">
        <w:rPr>
          <w:b/>
          <w:szCs w:val="22"/>
        </w:rPr>
        <w:t>1501</w:t>
      </w:r>
      <w:r w:rsidRPr="00983715">
        <w:rPr>
          <w:szCs w:val="22"/>
        </w:rPr>
        <w:t> Codice tributo – Imposta di registro per annualità successive;</w:t>
      </w:r>
    </w:p>
    <w:p w:rsidR="006649DC" w:rsidRPr="00983715" w:rsidRDefault="006649DC" w:rsidP="00983715">
      <w:pPr>
        <w:pStyle w:val="Corpotesto1"/>
        <w:numPr>
          <w:ilvl w:val="0"/>
          <w:numId w:val="21"/>
        </w:numPr>
        <w:rPr>
          <w:szCs w:val="22"/>
        </w:rPr>
      </w:pPr>
      <w:r w:rsidRPr="00983715">
        <w:rPr>
          <w:b/>
          <w:szCs w:val="22"/>
        </w:rPr>
        <w:t>1502</w:t>
      </w:r>
      <w:r w:rsidRPr="00983715">
        <w:rPr>
          <w:szCs w:val="22"/>
        </w:rPr>
        <w:t> Codice tributo – Imposta di registro per cessioni del contratto</w:t>
      </w:r>
      <w:r>
        <w:rPr>
          <w:szCs w:val="22"/>
        </w:rPr>
        <w:t>.</w:t>
      </w:r>
    </w:p>
    <w:p w:rsidR="006649DC" w:rsidRPr="00983715" w:rsidRDefault="006649DC" w:rsidP="00475E89">
      <w:pPr>
        <w:pStyle w:val="Corpotesto1"/>
        <w:rPr>
          <w:bCs w:val="0"/>
          <w:szCs w:val="22"/>
        </w:rPr>
      </w:pPr>
    </w:p>
    <w:p w:rsidR="006649DC" w:rsidRPr="002955FD" w:rsidRDefault="006649DC" w:rsidP="00475E89">
      <w:pPr>
        <w:jc w:val="both"/>
        <w:rPr>
          <w:rFonts w:ascii="Bookman Old Style" w:hAnsi="Bookman Old Style"/>
          <w:sz w:val="22"/>
          <w:szCs w:val="22"/>
        </w:rPr>
      </w:pPr>
    </w:p>
    <w:p w:rsidR="006649DC" w:rsidRPr="002955FD" w:rsidRDefault="006649DC" w:rsidP="00475E89">
      <w:pPr>
        <w:pStyle w:val="Corpotesto1"/>
        <w:rPr>
          <w:b/>
          <w:szCs w:val="22"/>
        </w:rPr>
      </w:pPr>
      <w:r w:rsidRPr="002955FD">
        <w:rPr>
          <w:b/>
          <w:szCs w:val="22"/>
        </w:rPr>
        <w:t>SCHEDA CARBURANTE</w:t>
      </w:r>
    </w:p>
    <w:p w:rsidR="006649DC" w:rsidRPr="002955FD" w:rsidRDefault="006649DC" w:rsidP="00475E89">
      <w:pPr>
        <w:jc w:val="both"/>
        <w:rPr>
          <w:rFonts w:ascii="Bookman Old Style" w:hAnsi="Bookman Old Style"/>
          <w:sz w:val="22"/>
          <w:szCs w:val="22"/>
        </w:rPr>
      </w:pPr>
      <w:r w:rsidRPr="002955FD">
        <w:rPr>
          <w:rFonts w:ascii="Bookman Old Style" w:hAnsi="Bookman Old Style"/>
          <w:sz w:val="22"/>
          <w:szCs w:val="22"/>
        </w:rPr>
        <w:t>Alla fine del mese (o del trimestre, a seconda della modalità prescelta) le imprese rilevano sulla scheda carburante il numero dei chilometri dell'automezzo.</w:t>
      </w:r>
    </w:p>
    <w:p w:rsidR="006649DC" w:rsidRPr="002955FD" w:rsidRDefault="006649DC" w:rsidP="00475E89">
      <w:pPr>
        <w:jc w:val="both"/>
        <w:rPr>
          <w:rFonts w:ascii="Bookman Old Style" w:hAnsi="Bookman Old Style"/>
          <w:sz w:val="22"/>
          <w:szCs w:val="22"/>
        </w:rPr>
      </w:pPr>
      <w:r w:rsidRPr="002955FD">
        <w:rPr>
          <w:rFonts w:ascii="Bookman Old Style" w:hAnsi="Bookman Old Style"/>
          <w:sz w:val="22"/>
          <w:szCs w:val="22"/>
        </w:rPr>
        <w:t>In alternativa alla scheda carburante, il contribuente che intende dedurre i costi ai fini delle imposte dirette e detrarre dell’Iva assolta sugli acquisti</w:t>
      </w:r>
      <w:r>
        <w:rPr>
          <w:rFonts w:ascii="Bookman Old Style" w:hAnsi="Bookman Old Style"/>
          <w:sz w:val="22"/>
          <w:szCs w:val="22"/>
        </w:rPr>
        <w:t xml:space="preserve"> </w:t>
      </w:r>
      <w:r w:rsidRPr="002955FD">
        <w:rPr>
          <w:rFonts w:ascii="Bookman Old Style" w:hAnsi="Bookman Old Style"/>
          <w:sz w:val="22"/>
          <w:szCs w:val="22"/>
        </w:rPr>
        <w:t>può - relativamente a tutti gli acquisti di carburante ad esso riferibili - effettuare i pagamenti esclusivamente mediante carte di credito, carte di debito o carte prepagate ed utilizzare la documentazione rilasciata dai soggetti che gestiscono detti strumenti di pagamento (C.M. 9 novembre 2012, n. 42/E).</w:t>
      </w:r>
    </w:p>
    <w:p w:rsidR="006649DC" w:rsidRPr="002955FD" w:rsidRDefault="006649DC" w:rsidP="00475E89">
      <w:pPr>
        <w:jc w:val="both"/>
        <w:rPr>
          <w:rFonts w:ascii="Bookman Old Style" w:hAnsi="Bookman Old Style"/>
          <w:sz w:val="22"/>
          <w:szCs w:val="22"/>
        </w:rPr>
      </w:pPr>
    </w:p>
    <w:p w:rsidR="006649DC" w:rsidRPr="002955FD" w:rsidRDefault="006649DC" w:rsidP="00475E89">
      <w:pPr>
        <w:jc w:val="both"/>
        <w:rPr>
          <w:rFonts w:ascii="Bookman Old Style" w:hAnsi="Bookman Old Style"/>
          <w:b/>
          <w:sz w:val="22"/>
          <w:szCs w:val="22"/>
        </w:rPr>
      </w:pPr>
      <w:r w:rsidRPr="002955FD">
        <w:rPr>
          <w:rFonts w:ascii="Bookman Old Style" w:hAnsi="Bookman Old Style"/>
          <w:b/>
          <w:sz w:val="22"/>
          <w:szCs w:val="22"/>
        </w:rPr>
        <w:t>LIBRO UNICO DEL LAVORO</w:t>
      </w:r>
    </w:p>
    <w:p w:rsidR="006649DC" w:rsidRPr="002955FD" w:rsidRDefault="006649DC" w:rsidP="00475E89">
      <w:pPr>
        <w:jc w:val="both"/>
        <w:rPr>
          <w:rFonts w:ascii="Bookman Old Style" w:hAnsi="Bookman Old Style"/>
          <w:sz w:val="22"/>
          <w:szCs w:val="22"/>
        </w:rPr>
      </w:pPr>
      <w:r w:rsidRPr="002955FD">
        <w:rPr>
          <w:rFonts w:ascii="Bookman Old Style" w:hAnsi="Bookman Old Style"/>
          <w:sz w:val="22"/>
          <w:szCs w:val="22"/>
        </w:rPr>
        <w:t>Termine entro il quale effettuare le scritturazioni obbligatorie sul Libro unico del lavoro</w:t>
      </w:r>
      <w:r>
        <w:rPr>
          <w:rFonts w:ascii="Bookman Old Style" w:hAnsi="Bookman Old Style"/>
          <w:sz w:val="22"/>
          <w:szCs w:val="22"/>
        </w:rPr>
        <w:t xml:space="preserve"> </w:t>
      </w:r>
      <w:r w:rsidRPr="002955FD">
        <w:rPr>
          <w:rFonts w:ascii="Bookman Old Style" w:hAnsi="Bookman Old Style"/>
          <w:sz w:val="22"/>
          <w:szCs w:val="22"/>
        </w:rPr>
        <w:t>con riferimento al mese precedente.</w:t>
      </w:r>
    </w:p>
    <w:p w:rsidR="006649DC" w:rsidRPr="002955FD" w:rsidRDefault="006649DC" w:rsidP="00475E89">
      <w:pPr>
        <w:pStyle w:val="NormalWeb"/>
        <w:spacing w:before="0" w:beforeAutospacing="0" w:after="0" w:afterAutospacing="0"/>
        <w:jc w:val="both"/>
        <w:rPr>
          <w:rFonts w:ascii="Bookman Old Style" w:hAnsi="Bookman Old Style"/>
          <w:sz w:val="22"/>
          <w:szCs w:val="22"/>
        </w:rPr>
      </w:pPr>
      <w:r w:rsidRPr="002955FD">
        <w:rPr>
          <w:rFonts w:ascii="Bookman Old Style" w:hAnsi="Bookman Old Style"/>
          <w:sz w:val="22"/>
          <w:szCs w:val="22"/>
        </w:rPr>
        <w:t>La stampa deve essere eseguita in forma meccanografica su fogli mobili vidimati e numerati su ogni pagina oppure a su stampa laser previa aut</w:t>
      </w:r>
      <w:r>
        <w:rPr>
          <w:rFonts w:ascii="Bookman Old Style" w:hAnsi="Bookman Old Style"/>
          <w:sz w:val="22"/>
          <w:szCs w:val="22"/>
        </w:rPr>
        <w:t xml:space="preserve">orizzazione Inail e numerazione </w:t>
      </w:r>
      <w:r w:rsidRPr="002955FD">
        <w:rPr>
          <w:rFonts w:ascii="Bookman Old Style" w:hAnsi="Bookman Old Style"/>
          <w:sz w:val="22"/>
          <w:szCs w:val="22"/>
        </w:rPr>
        <w:t>(art. 39 L. 133/2008-12-30 DM 9.7.2008 - Min. lavoro circ. 20/2008 - INAIL nota 9.12.2008).</w:t>
      </w:r>
    </w:p>
    <w:p w:rsidR="006649DC" w:rsidRPr="002955FD" w:rsidRDefault="006649DC" w:rsidP="00475E89">
      <w:pPr>
        <w:jc w:val="both"/>
        <w:rPr>
          <w:rFonts w:ascii="Bookman Old Style" w:hAnsi="Bookman Old Style"/>
          <w:sz w:val="22"/>
          <w:szCs w:val="22"/>
        </w:rPr>
      </w:pPr>
    </w:p>
    <w:p w:rsidR="006649DC" w:rsidRPr="002955FD" w:rsidRDefault="006649DC" w:rsidP="00475E89">
      <w:pPr>
        <w:pStyle w:val="Corpotesto1"/>
        <w:rPr>
          <w:b/>
          <w:szCs w:val="22"/>
        </w:rPr>
      </w:pPr>
      <w:r w:rsidRPr="002955FD">
        <w:rPr>
          <w:b/>
          <w:szCs w:val="22"/>
        </w:rPr>
        <w:t>UNIEMENS</w:t>
      </w:r>
    </w:p>
    <w:p w:rsidR="006649DC" w:rsidRDefault="006649DC" w:rsidP="00933550">
      <w:pPr>
        <w:jc w:val="both"/>
        <w:rPr>
          <w:rFonts w:ascii="Bookman Old Style" w:hAnsi="Bookman Old Style"/>
          <w:sz w:val="22"/>
          <w:szCs w:val="22"/>
        </w:rPr>
      </w:pPr>
      <w:r w:rsidRPr="002955FD">
        <w:rPr>
          <w:rFonts w:ascii="Bookman Old Style" w:hAnsi="Bookman Old Style"/>
          <w:sz w:val="22"/>
          <w:szCs w:val="22"/>
        </w:rPr>
        <w:t>Scade il termine per l'invio telematico della dichiarazione Uniemens rel</w:t>
      </w:r>
      <w:r>
        <w:rPr>
          <w:rFonts w:ascii="Bookman Old Style" w:hAnsi="Bookman Old Style"/>
          <w:sz w:val="22"/>
          <w:szCs w:val="22"/>
        </w:rPr>
        <w:t>ativa al mese precedente.</w:t>
      </w:r>
    </w:p>
    <w:p w:rsidR="006649DC" w:rsidRDefault="006649DC" w:rsidP="00FC50C6">
      <w:pPr>
        <w:jc w:val="both"/>
        <w:rPr>
          <w:rFonts w:ascii="Bookman Old Style" w:hAnsi="Bookman Old Style"/>
          <w:sz w:val="22"/>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657FBB">
      <w:pPr>
        <w:pStyle w:val="Corpotesto1"/>
        <w:rPr>
          <w:b/>
          <w:szCs w:val="22"/>
        </w:rPr>
      </w:pPr>
    </w:p>
    <w:p w:rsidR="006649DC" w:rsidRDefault="006649DC" w:rsidP="00933550">
      <w:pPr>
        <w:jc w:val="both"/>
        <w:rPr>
          <w:rFonts w:ascii="Bookman Old Style" w:hAnsi="Bookman Old Style"/>
          <w:sz w:val="22"/>
          <w:szCs w:val="22"/>
        </w:rPr>
      </w:pPr>
    </w:p>
    <w:p w:rsidR="006649DC" w:rsidRPr="00D64D29" w:rsidRDefault="006649DC" w:rsidP="00782E9D">
      <w:pPr>
        <w:pStyle w:val="Heading1"/>
        <w:pBdr>
          <w:top w:val="single" w:sz="4" w:space="1" w:color="auto"/>
          <w:left w:val="single" w:sz="4" w:space="4" w:color="auto"/>
          <w:bottom w:val="single" w:sz="4" w:space="1" w:color="auto"/>
          <w:right w:val="single" w:sz="4" w:space="4" w:color="auto"/>
        </w:pBdr>
        <w:jc w:val="center"/>
        <w:rPr>
          <w:rFonts w:ascii="Bookman Old Style" w:hAnsi="Bookman Old Style"/>
          <w:b w:val="0"/>
          <w:bCs/>
          <w:color w:val="FF0000"/>
          <w:sz w:val="28"/>
          <w:szCs w:val="28"/>
        </w:rPr>
      </w:pPr>
      <w:bookmarkStart w:id="70" w:name="_Toc448485269"/>
      <w:bookmarkStart w:id="71" w:name="_Toc448485393"/>
      <w:bookmarkStart w:id="72" w:name="_Toc448485532"/>
      <w:bookmarkStart w:id="73" w:name="_Toc448485660"/>
      <w:bookmarkStart w:id="74" w:name="_Toc448485784"/>
      <w:bookmarkStart w:id="75" w:name="_Toc448485887"/>
      <w:bookmarkStart w:id="76" w:name="_Toc448494590"/>
      <w:bookmarkStart w:id="77" w:name="_Toc506559949"/>
      <w:r w:rsidRPr="00D64D29">
        <w:rPr>
          <w:rFonts w:ascii="Bookman Old Style" w:hAnsi="Bookman Old Style"/>
          <w:color w:val="FF0000"/>
          <w:sz w:val="28"/>
          <w:szCs w:val="28"/>
        </w:rPr>
        <w:t>NOVITA’</w:t>
      </w:r>
      <w:bookmarkEnd w:id="70"/>
      <w:bookmarkEnd w:id="71"/>
      <w:bookmarkEnd w:id="72"/>
      <w:bookmarkEnd w:id="73"/>
      <w:bookmarkEnd w:id="74"/>
      <w:bookmarkEnd w:id="75"/>
      <w:bookmarkEnd w:id="76"/>
      <w:bookmarkEnd w:id="77"/>
    </w:p>
    <w:p w:rsidR="006649DC" w:rsidRPr="002955FD" w:rsidRDefault="006649DC" w:rsidP="002955FD">
      <w:pPr>
        <w:jc w:val="both"/>
        <w:rPr>
          <w:rFonts w:ascii="Bookman Old Style" w:hAnsi="Bookman Old Style"/>
          <w:bCs/>
          <w:sz w:val="22"/>
          <w:szCs w:val="22"/>
        </w:rPr>
      </w:pPr>
    </w:p>
    <w:p w:rsidR="006649DC" w:rsidRPr="002955FD" w:rsidRDefault="006649DC" w:rsidP="002955FD">
      <w:pPr>
        <w:shd w:val="clear" w:color="auto" w:fill="FFFFFF"/>
        <w:ind w:right="181"/>
        <w:jc w:val="both"/>
        <w:rPr>
          <w:rFonts w:ascii="Bookman Old Style" w:hAnsi="Bookman Old Style" w:cs="Verdana"/>
          <w:color w:val="000000"/>
          <w:sz w:val="22"/>
          <w:szCs w:val="22"/>
        </w:rPr>
      </w:pPr>
    </w:p>
    <w:p w:rsidR="006649DC" w:rsidRPr="002955FD" w:rsidRDefault="006649DC" w:rsidP="002955FD">
      <w:pPr>
        <w:jc w:val="both"/>
        <w:rPr>
          <w:rFonts w:ascii="Bookman Old Style" w:hAnsi="Bookman Old Style"/>
          <w:bCs/>
          <w:sz w:val="22"/>
          <w:szCs w:val="22"/>
        </w:rPr>
      </w:pPr>
    </w:p>
    <w:p w:rsidR="006649DC" w:rsidRDefault="006649DC" w:rsidP="00CD0A64">
      <w:pPr>
        <w:pStyle w:val="Heading2"/>
        <w:pBdr>
          <w:bottom w:val="single" w:sz="4" w:space="1" w:color="auto"/>
        </w:pBdr>
        <w:jc w:val="both"/>
        <w:rPr>
          <w:rFonts w:ascii="Bookman Old Style" w:hAnsi="Bookman Old Style"/>
          <w:sz w:val="28"/>
          <w:szCs w:val="28"/>
        </w:rPr>
      </w:pPr>
      <w:bookmarkStart w:id="78" w:name="_Toc448485270"/>
      <w:bookmarkStart w:id="79" w:name="_Toc448485394"/>
      <w:bookmarkStart w:id="80" w:name="_Toc448485533"/>
      <w:bookmarkStart w:id="81" w:name="_Toc448485661"/>
      <w:bookmarkStart w:id="82" w:name="_Toc448485785"/>
      <w:bookmarkStart w:id="83" w:name="_Toc448485888"/>
      <w:bookmarkStart w:id="84" w:name="_Toc448494591"/>
    </w:p>
    <w:p w:rsidR="006649DC" w:rsidRPr="00CD0A64" w:rsidRDefault="006649DC" w:rsidP="00CD0A64">
      <w:pPr>
        <w:pStyle w:val="Heading2"/>
        <w:pBdr>
          <w:bottom w:val="single" w:sz="4" w:space="1" w:color="auto"/>
        </w:pBdr>
        <w:jc w:val="both"/>
        <w:rPr>
          <w:rFonts w:ascii="Bookman Old Style" w:hAnsi="Bookman Old Style"/>
          <w:sz w:val="28"/>
          <w:szCs w:val="28"/>
        </w:rPr>
      </w:pPr>
      <w:bookmarkStart w:id="85" w:name="_Toc506559950"/>
      <w:r w:rsidRPr="00D64D29">
        <w:rPr>
          <w:rFonts w:ascii="Bookman Old Style" w:hAnsi="Bookman Old Style"/>
          <w:sz w:val="28"/>
          <w:szCs w:val="28"/>
        </w:rPr>
        <w:t>NORMATIVA</w:t>
      </w:r>
      <w:bookmarkEnd w:id="78"/>
      <w:bookmarkEnd w:id="79"/>
      <w:bookmarkEnd w:id="80"/>
      <w:bookmarkEnd w:id="81"/>
      <w:bookmarkEnd w:id="82"/>
      <w:bookmarkEnd w:id="83"/>
      <w:bookmarkEnd w:id="84"/>
      <w:bookmarkEnd w:id="85"/>
    </w:p>
    <w:p w:rsidR="006649DC" w:rsidRDefault="006649DC" w:rsidP="003B1B09">
      <w:pPr>
        <w:pStyle w:val="Heading3"/>
        <w:rPr>
          <w:b/>
          <w:color w:val="000000"/>
          <w:sz w:val="28"/>
          <w:szCs w:val="28"/>
          <w:u w:val="none"/>
        </w:rPr>
      </w:pPr>
      <w:bookmarkStart w:id="86" w:name="_Toc448485271"/>
      <w:bookmarkStart w:id="87" w:name="_Toc448485395"/>
      <w:bookmarkStart w:id="88" w:name="_Toc448485534"/>
      <w:bookmarkStart w:id="89" w:name="_Toc448485662"/>
      <w:bookmarkStart w:id="90" w:name="_Toc448485786"/>
      <w:bookmarkStart w:id="91" w:name="_Toc448485889"/>
      <w:bookmarkStart w:id="92" w:name="_Toc448494592"/>
    </w:p>
    <w:p w:rsidR="006649DC" w:rsidRDefault="006649DC" w:rsidP="00797AED">
      <w:pPr>
        <w:pStyle w:val="Heading3"/>
        <w:rPr>
          <w:b/>
          <w:color w:val="000000"/>
          <w:sz w:val="28"/>
          <w:szCs w:val="28"/>
          <w:u w:val="none"/>
        </w:rPr>
      </w:pPr>
      <w:bookmarkStart w:id="93" w:name="_Toc506559951"/>
      <w:r w:rsidRPr="005D7932">
        <w:rPr>
          <w:b/>
          <w:color w:val="000000"/>
          <w:sz w:val="28"/>
          <w:szCs w:val="28"/>
          <w:u w:val="none"/>
        </w:rPr>
        <w:t>IVA</w:t>
      </w:r>
      <w:bookmarkEnd w:id="86"/>
      <w:bookmarkEnd w:id="87"/>
      <w:bookmarkEnd w:id="88"/>
      <w:bookmarkEnd w:id="89"/>
      <w:bookmarkEnd w:id="90"/>
      <w:bookmarkEnd w:id="91"/>
      <w:bookmarkEnd w:id="92"/>
      <w:bookmarkEnd w:id="93"/>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u w:val="single"/>
        </w:rPr>
      </w:pPr>
      <w:r w:rsidRPr="00BD0F30">
        <w:rPr>
          <w:rFonts w:ascii="Bookman Old Style" w:hAnsi="Bookman Old Style" w:cs="Helvetica"/>
          <w:bCs/>
          <w:sz w:val="22"/>
          <w:szCs w:val="22"/>
          <w:u w:val="single"/>
        </w:rPr>
        <w:t>Modifiche alla disciplina dello split payment: decreto in G.U.</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Il Decreto 9 gennaio 2018, recante le “Modifiche alla disciplina attuativa in materia di scissione dei pagamenti (IVA)”, è stato pubblicato sulla </w:t>
      </w:r>
      <w:r w:rsidRPr="00BD0F30">
        <w:rPr>
          <w:rFonts w:ascii="Bookman Old Style" w:hAnsi="Bookman Old Style" w:cs="Helvetica"/>
          <w:bCs/>
          <w:sz w:val="22"/>
          <w:szCs w:val="22"/>
        </w:rPr>
        <w:t>Gazzetta Ufficiale n. 14 del 18 gennaio 2018</w:t>
      </w:r>
      <w:r w:rsidRPr="00BD0F30">
        <w:rPr>
          <w:rFonts w:ascii="Bookman Old Style" w:hAnsi="Bookman Old Style" w:cs="Helvetica"/>
          <w:sz w:val="22"/>
          <w:szCs w:val="22"/>
        </w:rPr>
        <w:t>.</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Di seguito il contenuto del decreto.</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i/>
          <w:sz w:val="22"/>
          <w:szCs w:val="22"/>
        </w:rPr>
      </w:pP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i/>
          <w:sz w:val="22"/>
          <w:szCs w:val="22"/>
        </w:rPr>
      </w:pPr>
      <w:r w:rsidRPr="00BD0F30">
        <w:rPr>
          <w:rFonts w:ascii="Bookman Old Style" w:hAnsi="Bookman Old Style" w:cs="Helvetica"/>
          <w:bCs/>
          <w:i/>
          <w:sz w:val="22"/>
          <w:szCs w:val="22"/>
        </w:rPr>
        <w:t>Modifiche alla disciplina attuativa sulla scissione dei pagamenti</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Al decreto del Ministro dell’economia e delle finanze del 23 gennaio 2015, come modificato dal decreto del Ministro dell’economia e delle finanze del 20 febbraio 2015, , nonchè dal decreto del Ministro dell’economia e delle finanze del 27 giugno 2017, e dal decreto del Ministro dell’economia e delle finanze del 13 luglio 2017, sono apportate le seguenti modifiche:</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a) all’art. 1, comma 1, le parole «delle pubbliche amministrazioni e delle societa’ ivi contemplate, di seguito “pubbliche amministrazioni e societa’”» sono sostituite dalle seguenti: «delle pubbliche amministrazioni, delle fondazioni, degli enti e delle societa’ ivi contemplate, di seguito “pubbliche amministrazioni, fondazioni, enti e societa’”»;</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b) ovunque ricorrano congiuntamente le parole «pubbliche amministrazioni e societa’» ovvero «pubbliche amministrazioni e le societa’» sono sostituite dalle seguenti: «pubbliche amministrazioni, fondazioni, enti e societa’»;</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c) ovunque ricorra la parola «societa’» e’ sostituita dalle seguenti «fondazioni, enti e societa’»;</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d) l’art. 5-ter e’ sostituito dal seguente:</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«Art. 5-ter (Individuazione delle fondazioni, degli enti e delle societa’). – 1. In sede di prima applicazione, per le operazioni per le quali e’ emessa fattura a partire dal 1° luglio 2017 fino al 31 dicembre 2017, le disposizioni dell’art. 17-ter del decreto n. 633 del 1972 si applicano alle societa’ controllate o incluse nell’indice FTSE MIB, di cui al comma 1-bis dello stesso art. 17-ter, che risultano tali alla data di entrata in vigore del decreto-legge 24 aprile 2017, n. 50, convertito, con modificazioni, dalla legge 21 giugno 2017, n. 96, come individuate nell’elenco pubblicato sul sito istituzionale del Dipartimento delle finanze del Ministero dell’economia e delle finanze.</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Per le operazioni per le quali e’ emessa fattura nell’anno 2018 e negli anni successivi, le disposizioni dell’art. 17-ter del decreto n. 633 del 1972 si applicano alle societa’ controllate o incluse nell’indice FTSE MIB, identificate agli effetti dell’imposta sul valore aggiunto, di cui al comma 1-bis dello stesso art. 17-ter agli enti pubblici economici nazionali, regionali e locali, comprese le aziende speciali e le aziende pubbliche di servizi alla persona, alle fondazioni partecipate da amministrazioni pubbliche per una percentuale complessiva del fondo di dotazione non inferiore al 70 per cento, alle societa’ partecipate, per una percentuale complessiva del capitale non inferiore al 70 per cento, da amministrazioni pubbliche o da enti e societa’, che risultano tali alla data del 30 settembre precedente. L’elenco e’ pubblicato, a cura del Dipartimento delle finanze, entro il 20 ottobre di ciascun anno con effetti a valere per l’anno successivo. Solo per l’anno 2017 il suddetto elenco e’ pubblicato entro il 19 dicembre con effetti a valere per l’anno 2018. Le fondazioni, enti e societa’ interessate possono segnalare eventuali incongruenze o errori al suddetto Dipartimento, che provvedera’ a esaminarle al fine dell’eventuale aggiornamento, in conformita’ alla normativa vigente.</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Nel caso in cui il controllo, la partecipazione o l’inclusione nell’indice FTSE MIB si verifichi in corso d’anno entro il 30 settembre, le nuove fondazioni, enti e societa’ controllate, partecipate o incluse nell’indice applicano le disposizioni dell’art. 17-ter del decreto n. 633 del 1972 alle operazioni per le quali e’ emessa fattura a partire dal 1° gennaio dell’anno successivo. Nel caso in cui il controllo, la partecipazione o l’inclusione nell’indice FTSE MIB si verifichi in corso d’anno dopo il 30 settembre, le nuove fondazioni, enti e societa’ controllate, partecipate o incluse nell’indice applicano le disposizioni dell’art. 17-ter del decreto n. 633 del 1972 alle operazioni per le quali e’ emessa fattura a partire dal 1° gennaio del secondo anno successivo.</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Nel caso in cui il controllo, la partecipazione o l’inclusione nell’indice FTSE MIB venga a mancare in corso d’anno entro il 30 settembre, le fondazioni, enti e societa’ non piu’ controllate, partecipate o incluse nell’indice continuano ad applicare le disposizioni dell’art. 17-ter del decreto n. 633 del 1972 alle operazioni per le quali e’ emessa fattura fino al 31 dicembre dell’anno. Nel caso in cui il controllo, la partecipazione o l’inclusione nell’indice FTSE MIB venga a mancare in corso d’anno dopo il 30 settembre, le fondazioni, enti e societa’ non piu’ controllate, partecipate o incluse nell’indice continuano ad applicare le disposizioni dell’art. 17-ter del decreto n. 633 del 1972 alle operazioni per le quali e’ emessa fattura fino al 31 dicembre dell’anno successivo.</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Nell’ambito delle societa’ controllate di cui al comma 1-bis, lettere a), b), dell’art. 17-ter del decreto n. 633 del 1972 sono incluse le societa’ il cui controllo e’ esercitato congiuntamente da pubbliche amministrazioni centrali di cui alla lettera a) dello stesso comma 1-bis e/o da societa’ controllate da queste ultime e/o da pubbliche amministrazioni di cui alla lettera b) dello stesso comma 1-bis o da enti e societa’ di cui alle lettere 0a), 0b), a) e c) e/o da societa’ controllate da queste ultime. »;</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e) all’art. 7 le parole da «pubbliche amministrazioni» fino a «d’imposta.» sono sostituite dalle seguenti: «pubbliche amministrazioni, fondazioni, enti e societa’ per le quali questi soggetti sono debitori d’imposta.».</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(Decreto 9 gennaio 2018, in </w:t>
      </w:r>
      <w:r w:rsidRPr="00BD0F30">
        <w:rPr>
          <w:rFonts w:ascii="Bookman Old Style" w:hAnsi="Bookman Old Style" w:cs="Helvetica"/>
          <w:bCs/>
          <w:sz w:val="22"/>
          <w:szCs w:val="22"/>
        </w:rPr>
        <w:t>Gazzetta Ufficiale n. 14 del 18 gennaio 2018</w:t>
      </w:r>
      <w:r w:rsidRPr="00BD0F30">
        <w:rPr>
          <w:rFonts w:ascii="Bookman Old Style" w:hAnsi="Bookman Old Style" w:cs="Helvetica"/>
          <w:sz w:val="22"/>
          <w:szCs w:val="22"/>
        </w:rPr>
        <w:t>)</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u w:val="single"/>
        </w:rPr>
      </w:pPr>
      <w:r w:rsidRPr="00BD0F30">
        <w:rPr>
          <w:rFonts w:ascii="Bookman Old Style" w:hAnsi="Bookman Old Style" w:cs="Helvetica"/>
          <w:sz w:val="22"/>
          <w:szCs w:val="22"/>
          <w:u w:val="single"/>
        </w:rPr>
        <w:t>Nuova disciplina della detrazione Iva sulle fatture</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xml:space="preserve">Arrivano i chiarimenti dell’Agenzia delle Entrate sulla detrazione Iva, dopo le modifiche introdotte dal Dl n. 50/2017. La circolare n. 1/E del 17 gennaio 2018, infatti, analizza le criticità derivanti dall’applicazione delle nuove disposizioni e scioglie i dubbi sollevati dalle associazioni di categoria, fornendo indicazioni operative per applicare correttamente la nuova disciplina. </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xml:space="preserve">Le istruzioni dell’Agenzia tengono conto dei principi espressi dalla Corte di Giustizia Ue, in base ai quali l’esercizio del diritto alla detrazione Iva, oltre al requisito dell’esigibilità dell’imposta, è subordinato anche a quello formale del possesso della fattura d’acquisto. </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xml:space="preserve">Il Dl n. 50/2017 ha ridotto il termine per l’esercizio della detrazione Iva spettante sulle operazioni di acquisto di beni e servizi, modificando anche la disciplina della registrazione delle fatture. </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xml:space="preserve">Il nuovo termine entro il quale può essere esercitato il diritto alla detrazione dell’Iva si applica alle fatture ed alle bollette doganali emesse dal 1°gennaio 2017, purché relative ad acquisti di beni e servizi e importazioni effettuati, e la cui relativa imposta sia divenuta esigibile, a decorrere dalla stessa data. </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i/>
          <w:sz w:val="22"/>
          <w:szCs w:val="22"/>
        </w:rPr>
      </w:pPr>
      <w:r w:rsidRPr="00BD0F30">
        <w:rPr>
          <w:rFonts w:ascii="Bookman Old Style" w:hAnsi="Bookman Old Style" w:cs="Helvetica"/>
          <w:i/>
          <w:sz w:val="22"/>
          <w:szCs w:val="22"/>
        </w:rPr>
        <w:t>Come applicare la disciplina</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xml:space="preserve">Per esercitare l’esercizio del diritto alla detrazione dell’Iva per le fatture ricevute nei primi mesi del 2018 ma relative ad operazioni effettuate nel 2017, l’Iva può essere detratta attraverso la registrazione nel 2018, secondo le modalità ordinarie, in una delle liquidazioni periodiche di tale anno. </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In alternativa è possibile effettuare la registrazione tra il 1° gennaio 2019 e il 30 aprile 2019 in un’apposita sezione del registro Iva degli acquisti relativo a tutte le fatture ricevute nel 2018, facendo concorrere l’imposta medesima alla formazione del saldo Iva della dichiarazione relativa al 2018, da presentare entro il 30 aprile 2019.</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xml:space="preserve">L’Iva risultante da fatture ricevute nel 2017, relativa ad operazioni effettuate e la cui imposta sia divenuta esigibile in tale anno, può invece essere detratta previa registrazione entro il 31 dicembre 2017, secondo le modalità ordinarie, al più tardi entro il 30 aprile 2018 previa registrazione (tra il 1° gennaio 2018 e il 30 aprile 2018) in un’apposita sezione del registro Iva degli acquisti relativo a tutte le fatture ricevute nel 2017, facendo concorrere l’imposta medesima alla formazione del saldo Iva della dichiarazione 2017. </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xml:space="preserve">In ossequio ai principi dello Statuto del contribuente, e in considerazione del fatto che i chiarimenti sopra riportati sono stati forniti in una data successiva al 16 gennaio 2018 (termine fissato per la liquidazione periodica dell’IVA relativa al mese di dicembre 2017), non saranno sanzionati i comportamenti difformi adottati dai contribuenti in sede di tale liquidazione periodica. </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xml:space="preserve">Diritto alla detrazione ed esigibilità anticipata nell’ambito dello Split payment Con il neo documento di prassi, l’Agenzia fornisce chiarimenti anche per le pubbliche amministrazioni e gli enti soggetti al meccanismo della scissione dei pagamenti (cd split payment) che decidono di optare per l’esigibilità dell’imposta anticipata (spostando l’esigibilità dal momento del pagamento al momento della ricezione o al momento della registrazione della fattura). </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xml:space="preserve">In base al Dl n. 50/2017, questa scelta può essere effettuata in relazione a ciascuna fattura. </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xml:space="preserve">Una volta esercitata la scelta, il diritto alla detrazione potrà essere esercitato dalla Pa che sia in possesso della fattura di acquisto, nel momento in cui l’imposta diventa esigibile (perciò al momento della ricezione o della registrazione della fattura). </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i/>
          <w:sz w:val="22"/>
          <w:szCs w:val="22"/>
        </w:rPr>
      </w:pPr>
      <w:r w:rsidRPr="00BD0F30">
        <w:rPr>
          <w:rFonts w:ascii="Bookman Old Style" w:hAnsi="Bookman Old Style" w:cs="Helvetica"/>
          <w:i/>
          <w:sz w:val="22"/>
          <w:szCs w:val="22"/>
        </w:rPr>
        <w:t>Detrazione dell’imposta e dichiarazione integrativa a favore</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xml:space="preserve">La circolare ricorda che in linea generale con la dichiarazione integrativa a favore è possibile correggere errori od omissioni che hanno determinato l’indicazione di un maggiore imponibile, di un maggiore debito d’imposta o di una minore eccedenza detraibile. </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xml:space="preserve">Ricorrendo alla dichiarazione integrativa, il soggetto passivo cessionario/committente può recuperare l’imposta per la quale non ha esercitato il diritto alla detrazione dell’Iva assolta sugli acquisti documentati nelle fatture ricevute nei termini. </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xml:space="preserve">Il termine massimo per ricorrere all’integrativa a favore è il 31 dicembre del quinto anno successivo a quello in cui è stata presentata la dichiarazione. </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xml:space="preserve">In ogni caso il soggetto passivo cessionario/committente deve regolarizzare la fattura di acquisto irregolare ed è soggetto alle sanzioni per la violazione degli obblighi di registrazione. </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(Agenzia delle entrate, comunicato n. 2 del 17 gennaio 2018)</w:t>
      </w:r>
    </w:p>
    <w:p w:rsidR="006649DC" w:rsidRPr="00BD0F30" w:rsidRDefault="006649DC" w:rsidP="00041DF3">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BD0F30" w:rsidRDefault="006649DC" w:rsidP="00041DF3">
      <w:pPr>
        <w:shd w:val="clear" w:color="auto" w:fill="FFFFFF"/>
        <w:jc w:val="both"/>
        <w:rPr>
          <w:rFonts w:ascii="Bookman Old Style" w:hAnsi="Bookman Old Style"/>
          <w:sz w:val="22"/>
          <w:szCs w:val="22"/>
          <w:u w:val="single"/>
        </w:rPr>
      </w:pPr>
      <w:r w:rsidRPr="00BD0F30">
        <w:rPr>
          <w:rFonts w:ascii="Bookman Old Style" w:hAnsi="Bookman Old Style"/>
          <w:sz w:val="22"/>
          <w:szCs w:val="22"/>
          <w:u w:val="single"/>
        </w:rPr>
        <w:t xml:space="preserve">Dal 1° gennaio 2018 aboliti i modelli INTRA trimestrali </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Dal 1° gennaio 2018 soppresso l’obbligo di presentazione degli elenchi riepilogativi concernenti gli acquisti intracomunitari di beni e le prestazioni di servizi ricevute. L’obbligo rimane, a determinate condizioni, solo per finalità statistiche. </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Con il Provvedimento n. 194409 del 25 settembre 2017, al fine di semplificare gli adempimenti a carico dei contribuenti passivi Iva, sono stati ridefiniti gli obblighi dichiarativi relativi alla presentazione dei seguenti modelli: </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 Intra 1 bis e quater (cessione di beni e servizi); </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 Intra 2 bis e quater (acquisti di beni e servizi). </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Difatti, a partire dal 2018 con il suddetto Provvedimento sono state introdotte le seguenti semplificazioni: </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 l’abolizione dei modelli INTRA trimestrali relativi agli acquisti di beni e servizi; </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 l’innalzamento a 200.000 euro trimestrali per gli acquisti di beni, e a 100.000 euro trimestrali per gli acquisti di servizi, oltre le quali scatta l’obbligo di presentazione dei modelli INTRA con periodicità mensile; </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 la rilevanza solo ai fini statistici dei modelli INTRA mensili relativi agli acquisti di beni e servizi; </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 il mantenimento dei modelli INTRA esistenti per le cessioni di beni e di servizi. </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Per tali operazioni, in particolare, la presentazione con periodicità mensile o trimestrale resta ancorata alla soglia di 50.000 euro prevista dal Decreto 22 febbraio 2010, in conformità alla direttiva 112/2006/CE (art. 263). </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Dal 2018 quindi, ai fini fiscali, resta soltanto l’obbligo di trasmissione degli elenchi riepilogativi concernenti le cessioni di beni e le prestazioni di servizi rese nei confronti di soggetti UE, secondo le periodicità stabilite dall’art. 2 del D.M. 22 febbraio 2010. </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Ecco seguito le principali variazioni decorrenti dal 1° gennaio 2018.</w:t>
      </w:r>
    </w:p>
    <w:p w:rsidR="006649DC" w:rsidRPr="00BD0F30" w:rsidRDefault="006649DC" w:rsidP="00041DF3">
      <w:pPr>
        <w:shd w:val="clear" w:color="auto" w:fill="FFFFFF"/>
        <w:jc w:val="both"/>
        <w:rPr>
          <w:rFonts w:ascii="Bookman Old Style" w:hAnsi="Bookman Old Style"/>
          <w:sz w:val="22"/>
          <w:szCs w:val="22"/>
        </w:rPr>
      </w:pP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i/>
          <w:sz w:val="22"/>
          <w:szCs w:val="22"/>
        </w:rPr>
        <w:t>Modello Operazione</w:t>
      </w:r>
      <w:r w:rsidRPr="00BD0F30">
        <w:rPr>
          <w:rFonts w:ascii="Bookman Old Style" w:hAnsi="Bookman Old Style"/>
          <w:sz w:val="22"/>
          <w:szCs w:val="22"/>
        </w:rPr>
        <w:t xml:space="preserve"> </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2017 2018 Intra trimestrali acquisti di beni e servizi obbligo per operazioni fino a 50.000 euro abolizione Intra mensili acquisti di beni acquisiti di servizi:</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 obbligo per operazioni superiori a 50.000 euro nel trimestre </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 obbligo per operazioni superiori a 50.000 euro nel trimestre </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 obbligo per operazioni superiori ai 200.000 euro trimestrali; </w:t>
      </w:r>
    </w:p>
    <w:p w:rsidR="006649DC" w:rsidRPr="00BD0F30" w:rsidRDefault="006649DC" w:rsidP="00041DF3">
      <w:pPr>
        <w:shd w:val="clear" w:color="auto" w:fill="FFFFFF"/>
        <w:jc w:val="both"/>
        <w:rPr>
          <w:rFonts w:ascii="Bookman Old Style" w:hAnsi="Bookman Old Style"/>
          <w:sz w:val="22"/>
          <w:szCs w:val="22"/>
        </w:rPr>
      </w:pP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rilevanza statistica:</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 obbligo per operazioni che superano i 100.000 euro trimestrali; rilevanza statistica Intra 1bis cessione di beni </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 fino a 50.000 euro periodicità trimestrale; </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 oltre 50.000 euro periodicità mensile; </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 regole invariate; </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 compilazione dati statistici opzionali per operazioni non superiori a 100.000 euro di operazioni trimestrali Intra 1quater cessione di servizi; </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 fino a 50.000 euro periodicità trimestrale; </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 oltre 50.000 euro periodicità mensile;</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Per coloro che, nei quattro trimestri precedenti, hanno acquistato servizi intra-UE per un ammontare totale, in ciascun trimestre, inferiore a 100.000,00 euro. I dati statistici sono: a) acquisiti dall’Agenzia delle Entrate tramite le comunicazioni dei dati delle fatture, effettuate ai sensi dell’art. 21 del D.L. 78/2010 o ai sensi dell’art. 1 co. 3 del DLgs. 127/2015; </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b) resi disponibili all’Agenzia delle Dogane, all’ISTAT e alla Banca d’Italia. </w:t>
      </w:r>
    </w:p>
    <w:p w:rsidR="006649DC" w:rsidRPr="00BD0F30" w:rsidRDefault="006649DC" w:rsidP="00041DF3">
      <w:pPr>
        <w:shd w:val="clear" w:color="auto" w:fill="FFFFFF"/>
        <w:jc w:val="both"/>
        <w:rPr>
          <w:rFonts w:ascii="Bookman Old Style" w:hAnsi="Bookman Old Style"/>
          <w:sz w:val="22"/>
          <w:szCs w:val="22"/>
        </w:rPr>
      </w:pPr>
      <w:r w:rsidRPr="00BD0F30">
        <w:rPr>
          <w:rFonts w:ascii="Bookman Old Style" w:hAnsi="Bookman Old Style"/>
          <w:sz w:val="22"/>
          <w:szCs w:val="22"/>
        </w:rPr>
        <w:t>(Provvedimento n. 194409 del 25 settembre 2017)</w:t>
      </w:r>
    </w:p>
    <w:p w:rsidR="006649DC" w:rsidRPr="00BD0F30" w:rsidRDefault="006649DC" w:rsidP="00041DF3">
      <w:pPr>
        <w:shd w:val="clear" w:color="auto" w:fill="FFFFFF"/>
        <w:jc w:val="both"/>
        <w:rPr>
          <w:rFonts w:ascii="Bookman Old Style" w:hAnsi="Bookman Old Style"/>
          <w:sz w:val="22"/>
          <w:szCs w:val="22"/>
        </w:rPr>
      </w:pP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bCs/>
          <w:sz w:val="22"/>
          <w:szCs w:val="22"/>
          <w:u w:val="single"/>
        </w:rPr>
        <w:t>Nuovo rimborso Iva in G.U</w:t>
      </w:r>
      <w:r w:rsidRPr="00BD0F30">
        <w:rPr>
          <w:rFonts w:ascii="Bookman Old Style" w:hAnsi="Bookman Old Style" w:cs="Helvetica"/>
          <w:b/>
          <w:bCs/>
          <w:sz w:val="22"/>
          <w:szCs w:val="22"/>
        </w:rPr>
        <w:t>.</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Sono state pubblicate le modalità di attuazione delle disposizioni in materia di rimborsi da conto fiscale.</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Difatti, il Ministero dell’Economia ha pubblicato sulla </w:t>
      </w:r>
      <w:r w:rsidRPr="00BD0F30">
        <w:rPr>
          <w:rFonts w:ascii="Bookman Old Style" w:hAnsi="Bookman Old Style" w:cs="Helvetica"/>
          <w:bCs/>
          <w:sz w:val="22"/>
          <w:szCs w:val="22"/>
        </w:rPr>
        <w:t xml:space="preserve">Gazzetta Ufficiale n. 5 del 8 gennaio 2018 </w:t>
      </w:r>
      <w:r w:rsidRPr="00BD0F30">
        <w:rPr>
          <w:rFonts w:ascii="Bookman Old Style" w:hAnsi="Bookman Old Style" w:cs="Helvetica"/>
          <w:sz w:val="22"/>
          <w:szCs w:val="22"/>
        </w:rPr>
        <w:t>il decreto 22 dicembre 2017.</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Il presente decreto si applica ai rimborsi da conto fiscale di cui all’art. 78 della legge 30 dicembre 1991, n. 413, pagati ai contribuenti a partire dal 1° gennaio 2018, a prescindere dal periodo d’imposta a cui si riferiscono.</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L’ambito provinciale, che trasmette alla struttura di gestione i dati necessari per effettuare il pagamento, distinguendo le somme da destinare al beneficiario del rimborso, ivi compresi gli interessi maturati fino alla data di trasmissione, da quelle eventualmente necessarie all’attività di riscossione che l’ambito provinciale dovrà espletare nei confronti dello stesso beneficiario, indica, tra l’altro, i codici IBAN e gli intestatari dei conti sui quali effettuare l’accreditamento.</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Eseguiti i rimborsi prioritari, i fondi disponibili devono essere utilizzati per l’erogazione dei rimborsi aventi, nell’ordine:</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 data di erogabilità più remota;</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 data di presentazione più remota;</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 periodo di riferimento, infrannuale o annuale, più remoto;</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 importo minore. La struttura di gestione comunica gli esiti dei pagamenti effettuati agli ambiti provinciali.</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In caso di mancato accredito, spetta all’ufficio dell’Agenzia delle entrate o all’ambito provinciale territorialmente competenti il compito di eliminare le cause che l’hanno determinato.</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Gli interessati devono comunicare agli ambiti provinciali e agli uffici competenti eventuali variazioni delle generalità (incluse quelle derivanti da cessioni di credito) e dei codici Iban dei conti sui quali accreditare i rimborsi.</w:t>
      </w:r>
    </w:p>
    <w:p w:rsidR="006649DC" w:rsidRPr="00BD0F30" w:rsidRDefault="006649DC" w:rsidP="00041DF3">
      <w:pPr>
        <w:shd w:val="clear" w:color="auto" w:fill="FFFFFF"/>
        <w:jc w:val="both"/>
        <w:rPr>
          <w:rFonts w:ascii="Bookman Old Style" w:hAnsi="Bookman Old Style" w:cs="Helvetica"/>
          <w:sz w:val="22"/>
          <w:szCs w:val="22"/>
        </w:rPr>
      </w:pPr>
    </w:p>
    <w:p w:rsidR="006649DC" w:rsidRPr="00BD0F30" w:rsidRDefault="006649DC" w:rsidP="00041DF3">
      <w:pPr>
        <w:shd w:val="clear" w:color="auto" w:fill="FFFFFF"/>
        <w:jc w:val="both"/>
        <w:rPr>
          <w:rFonts w:ascii="Bookman Old Style" w:hAnsi="Bookman Old Style" w:cs="Helvetica"/>
          <w:i/>
          <w:sz w:val="22"/>
          <w:szCs w:val="22"/>
        </w:rPr>
      </w:pPr>
      <w:r w:rsidRPr="00BD0F30">
        <w:rPr>
          <w:rFonts w:ascii="Bookman Old Style" w:hAnsi="Bookman Old Style" w:cs="Helvetica"/>
          <w:bCs/>
          <w:i/>
          <w:sz w:val="22"/>
          <w:szCs w:val="22"/>
        </w:rPr>
        <w:t>Attività degli ambiti provinciali dell’Agenzia delle entrate-Riscossione</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In relazione alle richieste di rimborso presentate dagli intestatari del conto fiscale direttamente al concessionario (ex articolo 20, comma 1, decreto n. 567 del 28 dicembre 1993), inclusi i rimborsi già richiesti al 31 dicembre 2017 e a tale data non ancora pagati, l’ambito provinciale trasmette alla struttura di gestione i dati necessari per effettuare il pagamento, distinguendo le somme da destinare al beneficiario del rimborso (compresi gli interessi maturati fino alla data di trasmissione) da quelle eventualmente necessarie all’attività di riscossione che l’ambito provinciale dovrà espletare nei confronti dello stesso beneficiario. Per consentire il pagamento dei rimborsi, l’ambito provinciale indica, tra l’altro, i codici Iban e gli intestatari dei conti sui quali effettuare l’accreditamento.</w:t>
      </w:r>
      <w:r w:rsidRPr="00BD0F30">
        <w:rPr>
          <w:rFonts w:ascii="Bookman Old Style" w:hAnsi="Bookman Old Style" w:cs="Helvetica"/>
          <w:sz w:val="22"/>
          <w:szCs w:val="22"/>
        </w:rPr>
        <w:br/>
        <w:t>Per i rimborsi dei tributi disposti dall’ufficio (ex articolo 20, comma 4-bis, decreto n. 567 del 28 dicembre 1993), e non ancora erogati al 31 dicembre 2017, l’ambito provinciale trasmette alla struttura di gestione i codici Iban e i dati degli intestatari dei conti sui quali accreditare le somme.</w:t>
      </w:r>
    </w:p>
    <w:p w:rsidR="006649DC" w:rsidRPr="00BD0F30" w:rsidRDefault="006649DC" w:rsidP="00041DF3">
      <w:pPr>
        <w:shd w:val="clear" w:color="auto" w:fill="FFFFFF"/>
        <w:jc w:val="both"/>
        <w:rPr>
          <w:rFonts w:ascii="Bookman Old Style" w:hAnsi="Bookman Old Style" w:cs="Helvetica"/>
          <w:sz w:val="22"/>
          <w:szCs w:val="22"/>
        </w:rPr>
      </w:pPr>
    </w:p>
    <w:p w:rsidR="006649DC" w:rsidRPr="00BD0F30" w:rsidRDefault="006649DC" w:rsidP="00041DF3">
      <w:pPr>
        <w:shd w:val="clear" w:color="auto" w:fill="FFFFFF"/>
        <w:jc w:val="both"/>
        <w:rPr>
          <w:rFonts w:ascii="Bookman Old Style" w:hAnsi="Bookman Old Style" w:cs="Helvetica"/>
          <w:i/>
          <w:sz w:val="22"/>
          <w:szCs w:val="22"/>
        </w:rPr>
      </w:pPr>
      <w:r w:rsidRPr="00BD0F30">
        <w:rPr>
          <w:rFonts w:ascii="Bookman Old Style" w:hAnsi="Bookman Old Style" w:cs="Helvetica"/>
          <w:bCs/>
          <w:i/>
          <w:sz w:val="22"/>
          <w:szCs w:val="22"/>
        </w:rPr>
        <w:t>Attività degli uffici dell’Agenzia delle entrate</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Per le richieste di rimborso diverse da quelle indicate nell’articolo precedente, il competente ufficio dell’Agenzia delle entrate, prima di disporre il rimborso, chiede all’ambito provinciale di indicare le eventuali somme necessarie all’attività di riscossione da espletare nei confronti del beneficiario.</w:t>
      </w:r>
      <w:r w:rsidRPr="00BD0F30">
        <w:rPr>
          <w:rFonts w:ascii="Bookman Old Style" w:hAnsi="Bookman Old Style" w:cs="Helvetica"/>
          <w:sz w:val="22"/>
          <w:szCs w:val="22"/>
        </w:rPr>
        <w:br/>
        <w:t>In questi casi, l’ufficio dispone, da un lato, il rimborso a favore del beneficiario e, dall’altro, un pagamento a favore dell’ambito provinciale, dopo aver ricevuto la comunicazione dell’Iban e dei dati degli intestatari dei conti sui quali accreditare le somme.</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(Ministero dell’Economia, decreto 22 dicembre 2017, in </w:t>
      </w:r>
      <w:r w:rsidRPr="00BD0F30">
        <w:rPr>
          <w:rFonts w:ascii="Bookman Old Style" w:hAnsi="Bookman Old Style" w:cs="Helvetica"/>
          <w:bCs/>
          <w:sz w:val="22"/>
          <w:szCs w:val="22"/>
        </w:rPr>
        <w:t>Gazzetta Ufficiale n. 5 del 8 gennaio 2018</w:t>
      </w:r>
      <w:r w:rsidRPr="00BD0F30">
        <w:rPr>
          <w:rFonts w:ascii="Bookman Old Style" w:hAnsi="Bookman Old Style" w:cs="Helvetica"/>
          <w:sz w:val="22"/>
          <w:szCs w:val="22"/>
        </w:rPr>
        <w:t>)</w:t>
      </w:r>
    </w:p>
    <w:p w:rsidR="006649DC" w:rsidRPr="00BD0F30" w:rsidRDefault="006649DC" w:rsidP="00041DF3">
      <w:pPr>
        <w:shd w:val="clear" w:color="auto" w:fill="FFFFFF"/>
        <w:jc w:val="both"/>
        <w:rPr>
          <w:rFonts w:ascii="Bookman Old Style" w:hAnsi="Bookman Old Style" w:cs="Helvetica"/>
          <w:sz w:val="22"/>
          <w:szCs w:val="22"/>
        </w:rPr>
      </w:pPr>
    </w:p>
    <w:p w:rsidR="006649DC" w:rsidRPr="00BD0F30" w:rsidRDefault="006649DC" w:rsidP="00041DF3">
      <w:pPr>
        <w:shd w:val="clear" w:color="auto" w:fill="FFFFFF"/>
        <w:jc w:val="both"/>
        <w:rPr>
          <w:rFonts w:ascii="Bookman Old Style" w:hAnsi="Bookman Old Style" w:cs="Helvetica"/>
          <w:sz w:val="22"/>
          <w:szCs w:val="22"/>
          <w:u w:val="single"/>
        </w:rPr>
      </w:pPr>
      <w:r w:rsidRPr="00BD0F30">
        <w:rPr>
          <w:rFonts w:ascii="Bookman Old Style" w:hAnsi="Bookman Old Style" w:cs="Helvetica"/>
          <w:bCs/>
          <w:sz w:val="22"/>
          <w:szCs w:val="22"/>
          <w:u w:val="single"/>
        </w:rPr>
        <w:t>Erogazione dei rimborsi Iva più veloci</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Dal 2 gennaio 2018 sarà direttamente </w:t>
      </w:r>
      <w:r w:rsidRPr="00BD0F30">
        <w:rPr>
          <w:rFonts w:ascii="Bookman Old Style" w:hAnsi="Bookman Old Style" w:cs="Helvetica"/>
          <w:bCs/>
          <w:sz w:val="22"/>
          <w:szCs w:val="22"/>
        </w:rPr>
        <w:t>l’Agenzia delle entrate</w:t>
      </w:r>
      <w:r w:rsidRPr="00BD0F30">
        <w:rPr>
          <w:rFonts w:ascii="Bookman Old Style" w:hAnsi="Bookman Old Style" w:cs="Helvetica"/>
          <w:sz w:val="22"/>
          <w:szCs w:val="22"/>
        </w:rPr>
        <w:t> a provvedere all’accredito sul conto corrente delle imprese senza il passaggio intermedio sulle tesorerie provinciali, con un risparmio di tempo di tre settimane. A stabilirlo è il </w:t>
      </w:r>
      <w:r w:rsidRPr="00BD0F30">
        <w:rPr>
          <w:rFonts w:ascii="Bookman Old Style" w:hAnsi="Bookman Old Style" w:cs="Helvetica"/>
          <w:bCs/>
          <w:sz w:val="22"/>
          <w:szCs w:val="22"/>
        </w:rPr>
        <w:t>provvedimento direttoriale del 29 dicembre 2017</w:t>
      </w:r>
      <w:r w:rsidRPr="00BD0F30">
        <w:rPr>
          <w:rFonts w:ascii="Bookman Old Style" w:hAnsi="Bookman Old Style" w:cs="Helvetica"/>
          <w:sz w:val="22"/>
          <w:szCs w:val="22"/>
        </w:rPr>
        <w:t> che, in attuazione dell’articolo 1, comma 4-bis, Dl 50/2017, approva le specifiche tecniche dei flussi informativi con Agenzia delle entrate – Riscossione e Riscossione Sicilia Spa. Ammonta a più di 16 miliardi di euro l’importo complessivo degli oltre 3,4 milioni di rimborsi effettuati dal Fisco durante l’anno appena conclusosi: il 13% in più rispetto al 2016, quando i rimborsi furono quasi 2,7 milioni, per una cifra complessiva di circa 14,3 miliardi di euro. Questo trend si è via via consolidato nel corso degli ultimi anni grazie alle recenti innovazioni dell’Agenzia, sia in termini di prassi sia di procedure, che hanno permesso di ridurre i tempi per l’erogazione dei rimborsi. Si è passati, così, dai 13 miliardi di euro restituiti nel 2014 (a 3 milioni di contribuenti) ai 14,3 miliardi erogati nel 2016 (a 2,7 milioni di famiglie e aziende), per arrivare ai 16,2 miliardi di quest’anno.</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Nel 2017 le regioni che hanno ricevuto più rimborsi sono state la Lombardia (4,6 milioni di euro), il Lazio (2,8 mln), l’Emilia Romagna (1,5 mln), il Piemonte (1,4 mln) e il Veneto (1,2 mln).</w:t>
      </w:r>
    </w:p>
    <w:p w:rsidR="006649DC" w:rsidRPr="00BD0F30" w:rsidRDefault="006649DC" w:rsidP="00041DF3">
      <w:pPr>
        <w:shd w:val="clear" w:color="auto" w:fill="FFFFFF"/>
        <w:jc w:val="both"/>
        <w:rPr>
          <w:rFonts w:ascii="Bookman Old Style" w:hAnsi="Bookman Old Style" w:cs="Helvetica"/>
          <w:sz w:val="22"/>
          <w:szCs w:val="22"/>
        </w:rPr>
      </w:pPr>
    </w:p>
    <w:p w:rsidR="006649DC" w:rsidRPr="00BD0F30" w:rsidRDefault="006649DC" w:rsidP="00041DF3">
      <w:pPr>
        <w:shd w:val="clear" w:color="auto" w:fill="FFFFFF"/>
        <w:jc w:val="both"/>
        <w:rPr>
          <w:rFonts w:ascii="Bookman Old Style" w:hAnsi="Bookman Old Style" w:cs="Helvetica"/>
          <w:i/>
          <w:sz w:val="22"/>
          <w:szCs w:val="22"/>
        </w:rPr>
      </w:pPr>
      <w:r w:rsidRPr="00BD0F30">
        <w:rPr>
          <w:rFonts w:ascii="Bookman Old Style" w:hAnsi="Bookman Old Style" w:cs="Helvetica"/>
          <w:bCs/>
          <w:i/>
          <w:sz w:val="22"/>
          <w:szCs w:val="22"/>
        </w:rPr>
        <w:t>Più rimborsi per le famiglie</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Circa 760mila contribuenti senza datore di lavoro, che hanno presentato il modello 730 entro il mese di luglio, hanno ricevuto più di 600 milioni di euro; pertanto, anche chi ha perso il lavoro ha comunque ricevuto il rimborso in tempi brevi, direttamente dall’Agenzia (nel 2016, i destinatari furono 681mila e ricevettero circa 500 milioni di euro).</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 xml:space="preserve">Buone notizie anche per i contribuenti che hanno presentato richiesta di rimborso del canone tv addebitato nella bolletta elettrica: per loro, la somma totale restituita è stata di </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circa un milione di euro.</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Nel complesso, nel 2017, l’Agenzia ha erogato alle famiglie più di 2,3 milioni di rimborsi, per un totale di circa 1,8 miliardi di euro.</w:t>
      </w:r>
    </w:p>
    <w:p w:rsidR="006649DC" w:rsidRPr="00BD0F30" w:rsidRDefault="006649DC" w:rsidP="00041DF3">
      <w:pPr>
        <w:shd w:val="clear" w:color="auto" w:fill="FFFFFF"/>
        <w:jc w:val="both"/>
        <w:rPr>
          <w:rFonts w:ascii="Bookman Old Style" w:hAnsi="Bookman Old Style" w:cs="Helvetica"/>
          <w:sz w:val="22"/>
          <w:szCs w:val="22"/>
        </w:rPr>
      </w:pPr>
    </w:p>
    <w:p w:rsidR="006649DC" w:rsidRPr="00BD0F30" w:rsidRDefault="006649DC" w:rsidP="00041DF3">
      <w:pPr>
        <w:shd w:val="clear" w:color="auto" w:fill="FFFFFF"/>
        <w:jc w:val="both"/>
        <w:rPr>
          <w:rFonts w:ascii="Bookman Old Style" w:hAnsi="Bookman Old Style" w:cs="Helvetica"/>
          <w:i/>
          <w:sz w:val="22"/>
          <w:szCs w:val="22"/>
        </w:rPr>
      </w:pPr>
      <w:r w:rsidRPr="00BD0F30">
        <w:rPr>
          <w:rFonts w:ascii="Bookman Old Style" w:hAnsi="Bookman Old Style" w:cs="Helvetica"/>
          <w:bCs/>
          <w:i/>
          <w:sz w:val="22"/>
          <w:szCs w:val="22"/>
        </w:rPr>
        <w:t>Rimborsi anche per imprese e professionisti</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Anche imprese, artigiani e professionisti hanno ricevuto più rimborsi rispetto all’anno precedente. Nel 2017, l’Agenzia ha restituito a oltre 68mila imprese, artigiani e professionisti, 12 miliardi di euro come rimborso Iva (nel 2016, erano stati circa 10,7 miliardi).</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Bene anche i rimborsi Ires, l’imposta sul reddito delle società: circa 11mila aziende hanno ricevuto 1,3 miliardi di euro e più di 1 miliardo di imposte dirette è stato restituito a ulteriori 946mila per la deducibilità Irap.</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Un’innovazione cruciale, per l’accelerazione dei tempi di erogazione dei rimborsi, è stata la posta elettronica certificata. Grazie alla Pec, infatti, l’Agenzia è riuscita a ridurre notevolmente i tempi relativi alle procedure di erogazione, garantendo un servizio sempre più rapido.</w:t>
      </w:r>
    </w:p>
    <w:p w:rsidR="006649DC" w:rsidRPr="00BD0F30" w:rsidRDefault="006649DC" w:rsidP="00041DF3">
      <w:pPr>
        <w:shd w:val="clear" w:color="auto" w:fill="FFFFFF"/>
        <w:jc w:val="both"/>
        <w:rPr>
          <w:rFonts w:ascii="Bookman Old Style" w:hAnsi="Bookman Old Style" w:cs="Helvetica"/>
          <w:sz w:val="22"/>
          <w:szCs w:val="22"/>
        </w:rPr>
      </w:pPr>
    </w:p>
    <w:p w:rsidR="006649DC" w:rsidRPr="00BD0F30" w:rsidRDefault="006649DC" w:rsidP="00041DF3">
      <w:pPr>
        <w:shd w:val="clear" w:color="auto" w:fill="FFFFFF"/>
        <w:jc w:val="both"/>
        <w:rPr>
          <w:rFonts w:ascii="Bookman Old Style" w:hAnsi="Bookman Old Style" w:cs="Helvetica"/>
          <w:i/>
          <w:sz w:val="22"/>
          <w:szCs w:val="22"/>
        </w:rPr>
      </w:pPr>
      <w:r w:rsidRPr="00BD0F30">
        <w:rPr>
          <w:rFonts w:ascii="Bookman Old Style" w:hAnsi="Bookman Old Style" w:cs="Helvetica"/>
          <w:bCs/>
          <w:i/>
          <w:sz w:val="22"/>
          <w:szCs w:val="22"/>
        </w:rPr>
        <w:t>Il Fisco ti avvisa via sms</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Gli utenti registrati ai servizi online delle Entrate che hanno fornito il proprio numero di cellulare sono stati avvisati dell’avvenuto accredito del rimborso direttamente via sms. Nel corso del 2017, l’Agenzia ha infatti inviato circa 38mila messaggini, di cui 16mila nel solo mese di dicembre. Per ricevere gli alert personalizzati del Fisco direttamente sul proprio cellulare in modo da ricordare le scadenze, stare al passo con i pagamenti e tenere sotto controllo l’arrivo di un rimborso, basta accedere ai servizi telematici sul sito dell’Agenzia e inserire il proprio numero di cellulare nell’area autenticata.</w:t>
      </w:r>
    </w:p>
    <w:p w:rsidR="006649DC" w:rsidRPr="00BD0F30" w:rsidRDefault="006649DC" w:rsidP="00041DF3">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(P</w:t>
      </w:r>
      <w:r w:rsidRPr="00BD0F30">
        <w:rPr>
          <w:rFonts w:ascii="Bookman Old Style" w:hAnsi="Bookman Old Style" w:cs="Helvetica"/>
          <w:bCs/>
          <w:sz w:val="22"/>
          <w:szCs w:val="22"/>
        </w:rPr>
        <w:t>rovvedimento direttoriale del 29 dicembre 2017</w:t>
      </w:r>
      <w:r w:rsidRPr="00BD0F30">
        <w:rPr>
          <w:rFonts w:ascii="Bookman Old Style" w:hAnsi="Bookman Old Style" w:cs="Helvetica"/>
          <w:sz w:val="22"/>
          <w:szCs w:val="22"/>
        </w:rPr>
        <w:t xml:space="preserve"> in attuazione dell’articolo 1, comma 4-bis, Dl 50/2017)</w:t>
      </w:r>
    </w:p>
    <w:p w:rsidR="006649DC" w:rsidRPr="00BD0F30" w:rsidRDefault="006649DC" w:rsidP="00797AED">
      <w:pPr>
        <w:pStyle w:val="Heading3"/>
        <w:rPr>
          <w:b/>
          <w:szCs w:val="22"/>
          <w:u w:val="none"/>
        </w:rPr>
      </w:pPr>
    </w:p>
    <w:p w:rsidR="006649DC" w:rsidRPr="00041DF3" w:rsidRDefault="006649DC" w:rsidP="00041DF3"/>
    <w:p w:rsidR="006649DC" w:rsidRDefault="006649DC" w:rsidP="006E7FF2"/>
    <w:p w:rsidR="006649DC" w:rsidRDefault="006649DC" w:rsidP="006E7FF2"/>
    <w:p w:rsidR="006649DC" w:rsidRPr="006E7FF2" w:rsidRDefault="006649DC" w:rsidP="006E7FF2"/>
    <w:p w:rsidR="006649DC" w:rsidRPr="00797AED" w:rsidRDefault="006649DC" w:rsidP="00797AED">
      <w:pPr>
        <w:pStyle w:val="Heading3"/>
        <w:rPr>
          <w:b/>
          <w:sz w:val="28"/>
          <w:szCs w:val="28"/>
          <w:u w:val="none"/>
        </w:rPr>
      </w:pPr>
      <w:bookmarkStart w:id="94" w:name="_Toc506559952"/>
      <w:r w:rsidRPr="003B1B09">
        <w:rPr>
          <w:b/>
          <w:sz w:val="28"/>
          <w:szCs w:val="28"/>
          <w:u w:val="none"/>
        </w:rPr>
        <w:t>IMPOSTE DIRETTE</w:t>
      </w:r>
      <w:bookmarkEnd w:id="94"/>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rPr>
      </w:pPr>
      <w:r w:rsidRPr="00BD0F30">
        <w:rPr>
          <w:rFonts w:ascii="Bookman Old Style" w:hAnsi="Bookman Old Style"/>
          <w:sz w:val="22"/>
          <w:szCs w:val="22"/>
          <w:u w:val="single"/>
        </w:rPr>
        <w:t>Capital gain su partecipazioni qualificate: redditi soggetti a ritenuta d’imposta del 26%</w:t>
      </w:r>
      <w:r w:rsidRPr="00BD0F30">
        <w:rPr>
          <w:rFonts w:ascii="Bookman Old Style" w:hAnsi="Bookman Old Style"/>
          <w:sz w:val="22"/>
          <w:szCs w:val="22"/>
        </w:rPr>
        <w:t xml:space="preserve"> Equiparata la tassazione delle componenti reddituali (dividendi e plusvalenze) relative alle partecipazioni qualificate e non qualificate. </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rPr>
      </w:pPr>
      <w:r w:rsidRPr="00BD0F30">
        <w:rPr>
          <w:rFonts w:ascii="Bookman Old Style" w:hAnsi="Bookman Old Style"/>
          <w:sz w:val="22"/>
          <w:szCs w:val="22"/>
        </w:rPr>
        <w:t xml:space="preserve">Le misure contenute nella Legge di bilancio 2018 sono, infatti, dirette ad assoggettare a tassazione nella misura del 26% (con ritenuta a titolo d’imposta per i dividendi e imposta sostitutiva per le plusvalenze) tali componenti, in modo indipendente dall’entità della partecipazione detenuta, sottraendo quindi dividendi e plusvalenze di natura qualificata dalla tassazione progressiva IRPEF. </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rPr>
      </w:pPr>
      <w:r w:rsidRPr="00BD0F30">
        <w:rPr>
          <w:rFonts w:ascii="Bookman Old Style" w:hAnsi="Bookman Old Style"/>
          <w:sz w:val="22"/>
          <w:szCs w:val="22"/>
        </w:rPr>
        <w:t xml:space="preserve">Capital gain su partecipazioni qualificate: la Legge 27 dicembre 2017, n. 205 (in Gazzetta Ufficiale n. 302 del 29 dicembre 2017), attraverso i commi 999-1002), dispone che i redditi conseguiti da persone fisiche (al di fuori dell’esercizio dell’attività d’impresa), sulla cessione di partecipazioni societarie qualificate, sono soggetti a ritenuta d’imposta del 26%, al pari di quanto previsto per le partecipazioni non qualificate. </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rPr>
      </w:pP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i/>
          <w:sz w:val="22"/>
          <w:szCs w:val="22"/>
        </w:rPr>
      </w:pPr>
      <w:r w:rsidRPr="00BD0F30">
        <w:rPr>
          <w:rFonts w:ascii="Bookman Old Style" w:hAnsi="Bookman Old Style"/>
          <w:i/>
          <w:sz w:val="22"/>
          <w:szCs w:val="22"/>
        </w:rPr>
        <w:t xml:space="preserve">IRPEF: Redditi di capitale su partecipazioni qualificate (co. 1003, 1005 e 1006) </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rPr>
      </w:pPr>
      <w:r w:rsidRPr="00BD0F30">
        <w:rPr>
          <w:rFonts w:ascii="Bookman Old Style" w:hAnsi="Bookman Old Style"/>
          <w:sz w:val="22"/>
          <w:szCs w:val="22"/>
        </w:rPr>
        <w:t xml:space="preserve">Gli utili conseguiti da persone fisiche (al di fuori dell’esercizio dell’attività d’impresa), in relazione al possesso di partecipazioni societarie qualificate, sono soggetti a ritenuta a titolo d’imposta con aliquota al 26%, come previsto per le partecipazioni non qualificate. Le nuove norme si applicano ai redditi di capitale (dividendi) percepiti dal 1° gennaio 2018. Dividendi esteri (co. 1007-1009) Non si considerano provenienti da società residenti o localizzati in Paradisi fiscali (e quindi non concorrono integralmente alla formazione del reddito imponibile) gli utili percepiti dal periodo di imposta successivo al 31 dicembre 2014 e maturati in periodi di imposta precedenti nei quali le società partecipate erano residenti in Stati a regime fiscale ordinario. </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rPr>
      </w:pP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i/>
          <w:sz w:val="22"/>
          <w:szCs w:val="22"/>
        </w:rPr>
      </w:pPr>
      <w:r w:rsidRPr="00BD0F30">
        <w:rPr>
          <w:rFonts w:ascii="Bookman Old Style" w:hAnsi="Bookman Old Style"/>
          <w:i/>
          <w:sz w:val="22"/>
          <w:szCs w:val="22"/>
        </w:rPr>
        <w:t>IRES: società di capitali - Definizione di dividendi black list</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rPr>
      </w:pPr>
      <w:r w:rsidRPr="00BD0F30">
        <w:rPr>
          <w:rFonts w:ascii="Bookman Old Style" w:hAnsi="Bookman Old Style"/>
          <w:sz w:val="22"/>
          <w:szCs w:val="22"/>
        </w:rPr>
        <w:t xml:space="preserve">Non si considerano provenienti da società residenti o localizzati in Paradisi fiscali: </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rPr>
      </w:pPr>
      <w:r w:rsidRPr="00BD0F30">
        <w:rPr>
          <w:rFonts w:ascii="Bookman Old Style" w:hAnsi="Bookman Old Style"/>
          <w:sz w:val="22"/>
          <w:szCs w:val="22"/>
        </w:rPr>
        <w:t xml:space="preserve">- gli utili percepiti dal periodo di imposta successivo al 31 dicembre 2014 e maturati in periodi di imposta precedenti nei quali le società partecipate erano residenti o localizzate in Stati o territori a regime fiscale ordinario (perché non inclusi nelle vigenti black list). </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rPr>
      </w:pPr>
      <w:r w:rsidRPr="00BD0F30">
        <w:rPr>
          <w:rFonts w:ascii="Bookman Old Style" w:hAnsi="Bookman Old Style"/>
          <w:sz w:val="22"/>
          <w:szCs w:val="22"/>
        </w:rPr>
        <w:t xml:space="preserve">- gli utili maturati successivamente al 2014 in Stati a regime fiscale ordinario ma percepiti in periodi d’imposta in cui gli Stati suddetti sono considerati Paradisi fiscali in base all’attuale normativa (livello nominale di tassazione inferiore al 50% di quello applicabile in Italia). </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rPr>
      </w:pP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i/>
          <w:sz w:val="22"/>
          <w:szCs w:val="22"/>
        </w:rPr>
      </w:pPr>
      <w:r w:rsidRPr="00BD0F30">
        <w:rPr>
          <w:rFonts w:ascii="Bookman Old Style" w:hAnsi="Bookman Old Style"/>
          <w:i/>
          <w:sz w:val="22"/>
          <w:szCs w:val="22"/>
        </w:rPr>
        <w:t xml:space="preserve">Tassazione dei dividendi black list </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rPr>
      </w:pPr>
      <w:r w:rsidRPr="00BD0F30">
        <w:rPr>
          <w:rFonts w:ascii="Bookman Old Style" w:hAnsi="Bookman Old Style"/>
          <w:sz w:val="22"/>
          <w:szCs w:val="22"/>
        </w:rPr>
        <w:t xml:space="preserve">Gli utili provenienti da società residenti in paradisi fiscali e le remunerazioni derivanti da contratti di associazione in partecipazione, stipulati con tali soggetti, sono esclusi dalla formazione dei reddito della società beneficiaria per il 50% del loro ammontare, a condizione che sia dimostrato, anche a seguito di interpello, l'effettivo svolgimento, da parte del soggetto non residente, di un'attività industriale o commerciale come sua principale attività, nel mercato della stato o territorio di insediamento. </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rPr>
      </w:pPr>
      <w:r w:rsidRPr="00BD0F30">
        <w:rPr>
          <w:rFonts w:ascii="Bookman Old Style" w:hAnsi="Bookman Old Style"/>
          <w:sz w:val="22"/>
          <w:szCs w:val="22"/>
        </w:rPr>
        <w:t xml:space="preserve">In tal caso, è riconosciuto al soggetto controllante residente in Italia o alle sue controllate residenti percipienti gli utili, un credito d'imposta per i redditi prodotti all’estero in ragione delle imposte assolte dalla società partecipata sugli utili maturati durante il periodo di possesso della partecipazione, in proporzione alla quota imponibile degli utili conseguiti (50%) e nei limiti dell'imposta italiana relativa a tali utili. </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rPr>
      </w:pPr>
      <w:r w:rsidRPr="00BD0F30">
        <w:rPr>
          <w:rFonts w:ascii="Bookman Old Style" w:hAnsi="Bookman Old Style"/>
          <w:sz w:val="22"/>
          <w:szCs w:val="22"/>
        </w:rPr>
        <w:t xml:space="preserve">Prime considerazioni dottrinali Tra i primi commenti dottrinali quello che evidenzia come il legislatore non abbia voluto sopprimere la categoria delle partecipazioni qualificate, la cui definizione rimane nel testo dell’art. 67 comma 1 lett. c) del TUIR, ma più semplicemente a prevedere anche per tali partecipazioni il regime di tassazione delle partecipazioni non qualificate. </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rPr>
      </w:pPr>
      <w:r w:rsidRPr="00BD0F30">
        <w:rPr>
          <w:rFonts w:ascii="Bookman Old Style" w:hAnsi="Bookman Old Style"/>
          <w:sz w:val="22"/>
          <w:szCs w:val="22"/>
        </w:rPr>
        <w:t xml:space="preserve">Il fatto che le partecipazioni non qualificate continuino ad esistere come categoria a sé consente, ad esempio, di mantenere inalterata l’esenzione da imposta sostitutiva per i capital gain realizzati dai non residenti ai sensi dell’art. 5 comma 5 del DLgs. 461/97, riservata alle sole plusvalenze di cui all’art. 67 comma 1 lett. c-bis) del TUIR e purché il cedente risieda in uno Stato o territorio ricompreso nella white list). </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rPr>
      </w:pPr>
      <w:r w:rsidRPr="00BD0F30">
        <w:rPr>
          <w:rFonts w:ascii="Bookman Old Style" w:hAnsi="Bookman Old Style"/>
          <w:sz w:val="22"/>
          <w:szCs w:val="22"/>
        </w:rPr>
        <w:t xml:space="preserve">Viene poi osservato come il regime della tassazione secca del 26% non rimane l’unico applicabile neanche dopo tali novità. Rimarrebbe, dunque, la tassazione progressiva IRPEF (e nella misura del 100%) per le plusvalenze realizzate su partecipazioni in società estere a regime fiscale privilegiato (art. 68 comma 4 del TUIR) e per i dividendi provenienti dalle medesime società (art. 47 comma 4 del TUIR). </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rPr>
      </w:pPr>
      <w:r w:rsidRPr="00BD0F30">
        <w:rPr>
          <w:rFonts w:ascii="Bookman Old Style" w:hAnsi="Bookman Old Style"/>
          <w:sz w:val="22"/>
          <w:szCs w:val="22"/>
        </w:rPr>
        <w:t xml:space="preserve">Quindi per le partecipazioni (sia qualificate e non) relative alle società a regime fiscale privilegiato, vi è la tassazione in misura integrale. </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rPr>
      </w:pP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i/>
          <w:sz w:val="22"/>
          <w:szCs w:val="22"/>
        </w:rPr>
      </w:pPr>
      <w:r w:rsidRPr="00BD0F30">
        <w:rPr>
          <w:rFonts w:ascii="Bookman Old Style" w:hAnsi="Bookman Old Style"/>
          <w:i/>
          <w:sz w:val="22"/>
          <w:szCs w:val="22"/>
        </w:rPr>
        <w:t>Decorrenza delle novità</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rPr>
      </w:pPr>
      <w:r w:rsidRPr="00BD0F30">
        <w:rPr>
          <w:rFonts w:ascii="Bookman Old Style" w:hAnsi="Bookman Old Style"/>
          <w:sz w:val="22"/>
          <w:szCs w:val="22"/>
        </w:rPr>
        <w:t xml:space="preserve">Le nuove disposizioni si applicano ai dividendi percepiti dal 1° gennaio 2018 e alle plusvalenze realizzate dal 1° gennaio 2019; per tutte le plusvalenze realizzate nel 2018, quindi, continueranno ad applicarsi le previgenti regole. </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rPr>
      </w:pPr>
      <w:r w:rsidRPr="00BD0F30">
        <w:rPr>
          <w:rFonts w:ascii="Bookman Old Style" w:hAnsi="Bookman Old Style"/>
          <w:sz w:val="22"/>
          <w:szCs w:val="22"/>
        </w:rPr>
        <w:t xml:space="preserve">Tuttavia, per i dividendi viene prevista un’apposita disciplina transitoria. </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rPr>
      </w:pPr>
      <w:r w:rsidRPr="00BD0F30">
        <w:rPr>
          <w:rFonts w:ascii="Bookman Old Style" w:hAnsi="Bookman Old Style"/>
          <w:sz w:val="22"/>
          <w:szCs w:val="22"/>
        </w:rPr>
        <w:t>(Legge di bilancio 2018)</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rPr>
      </w:pPr>
    </w:p>
    <w:p w:rsidR="006649DC" w:rsidRPr="00BD0F30" w:rsidRDefault="006649DC" w:rsidP="00BD0F30">
      <w:pPr>
        <w:shd w:val="clear" w:color="auto" w:fill="FFFFFF"/>
        <w:jc w:val="both"/>
        <w:rPr>
          <w:rFonts w:ascii="Bookman Old Style" w:hAnsi="Bookman Old Style"/>
          <w:sz w:val="22"/>
          <w:szCs w:val="22"/>
          <w:u w:val="single"/>
        </w:rPr>
      </w:pPr>
      <w:r w:rsidRPr="00BD0F30">
        <w:rPr>
          <w:rFonts w:ascii="Bookman Old Style" w:hAnsi="Bookman Old Style"/>
          <w:sz w:val="22"/>
          <w:szCs w:val="22"/>
          <w:u w:val="single"/>
        </w:rPr>
        <w:t xml:space="preserve">Nuova tassazione dividendi e plusvalenze </w:t>
      </w:r>
    </w:p>
    <w:p w:rsidR="006649DC" w:rsidRPr="00BD0F30" w:rsidRDefault="006649DC" w:rsidP="00BD0F30">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La Legge n. 205 del 27 dicembre 2017 (Legge di Bilancio 2018) prevede l’estensione dell’imposizione sostitutiva del 26% anche ai redditi di capitale (dividendi) e capital gain derivanti da partecipazioni qualificate detenute da persone fisiche al di fuori dell’esercizio di impresa. </w:t>
      </w:r>
    </w:p>
    <w:p w:rsidR="006649DC" w:rsidRPr="00BD0F30" w:rsidRDefault="006649DC" w:rsidP="00BD0F30">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La neo misura determinerà la medesima imposizione sia per le plusvalenze realizzate, sia per i dividendi percepiti dalle persone fisiche, a prescindere dalla tipologia di partecipazione posseduta. </w:t>
      </w:r>
    </w:p>
    <w:p w:rsidR="006649DC" w:rsidRPr="00BD0F30" w:rsidRDefault="006649DC" w:rsidP="00BD0F30">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Le nuove disposizioni sono applicabili ai redditi da capitale percepiti a partire dal 1 gennaio 2018 ed ai redditi da capital gain realizzati a decorrere dal 1 gennaio 2019. </w:t>
      </w:r>
    </w:p>
    <w:p w:rsidR="006649DC" w:rsidRPr="00BD0F30" w:rsidRDefault="006649DC" w:rsidP="00BD0F30">
      <w:pPr>
        <w:shd w:val="clear" w:color="auto" w:fill="FFFFFF"/>
        <w:jc w:val="both"/>
        <w:rPr>
          <w:rFonts w:ascii="Bookman Old Style" w:hAnsi="Bookman Old Style"/>
          <w:sz w:val="22"/>
          <w:szCs w:val="22"/>
        </w:rPr>
      </w:pPr>
      <w:r w:rsidRPr="00BD0F30">
        <w:rPr>
          <w:rFonts w:ascii="Bookman Old Style" w:hAnsi="Bookman Old Style"/>
          <w:sz w:val="22"/>
          <w:szCs w:val="22"/>
        </w:rPr>
        <w:t>Redditi di capitale e redditi diversi derivanti da partecipazioni qualificate.</w:t>
      </w:r>
    </w:p>
    <w:p w:rsidR="006649DC" w:rsidRPr="00BD0F30" w:rsidRDefault="006649DC" w:rsidP="00BD0F30">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I redditi di capitale e i redditi diversi conseguiti da persone fisiche, al di fuori dell’esercizio di attività d’impresa, per effetto del possesso e della cessione di partecipazioni societarie qualificate vanno assoggettati a ritenuta a titolo d’imposta del 26% (la medesima aliquota prevista per le partecipazioni non qualificate). </w:t>
      </w:r>
    </w:p>
    <w:p w:rsidR="006649DC" w:rsidRPr="00BD0F30" w:rsidRDefault="006649DC" w:rsidP="00BD0F30">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Utili provenienti da paradisi fiscali Introdotte significative modifiche al regime impositivo degli utili da partecipazione in società residenti in Stati o territori a regime fiscale privilegiato. </w:t>
      </w:r>
    </w:p>
    <w:p w:rsidR="006649DC" w:rsidRPr="00BD0F30" w:rsidRDefault="006649DC" w:rsidP="00BD0F30">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Le nuove disposizioni prevedono che: </w:t>
      </w:r>
    </w:p>
    <w:p w:rsidR="006649DC" w:rsidRPr="00BD0F30" w:rsidRDefault="006649DC" w:rsidP="00BD0F30">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 non si considerano provenienti da società residenti o localizzati in Stati o territori a regime fiscale privilegiato (e, quindi, non concorrono integralmente alla formazione del reddito imponibile) gli utili percepiti dal periodo di imposta successivo al 31 dicembre 2014 e maturati in periodi di imposta precedenti nei quali le società partecipate erano residenti o localizzate in Stati o territori non inclusi nella black list relativa alle società controllate estere (Cfc); </w:t>
      </w:r>
    </w:p>
    <w:p w:rsidR="006649DC" w:rsidRPr="00BD0F30" w:rsidRDefault="006649DC" w:rsidP="00BD0F30">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 non si considerano provenienti da società residenti o localizzati in Stati o territori a regime fiscale privilegiato gli utili maturati successivamente al 2014 in Stati o territori non a regime privilegiato e in seguito percepiti in periodi d’imposta in cui risultano soddisfatte le condizioni previste dal Tuir, in base alle quali si stabilisce che i regimi fiscali, anche speciali, di Stati o territori si considerano privilegiati laddove il livello nominale di tassazione risulti inferiore al 50% di quello applicabile in Italia; </w:t>
      </w:r>
    </w:p>
    <w:p w:rsidR="006649DC" w:rsidRPr="00BD0F30" w:rsidRDefault="006649DC" w:rsidP="00BD0F30">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 gli utili distribuiti dai soggetti non residenti si presumono non provenienti da Stati o territori a regime fiscale privilegiato; </w:t>
      </w:r>
    </w:p>
    <w:p w:rsidR="006649DC" w:rsidRPr="00BD0F30" w:rsidRDefault="006649DC" w:rsidP="00BD0F30">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 gli utili provenienti da società residenti in Stati o territori a regime fiscale privilegiato e le remunerazioni derivanti da contratti di associazione in partecipazione, stipulati con tali soggetti, non concorrono a formare il reddito dell’esercizio in cui sono percepiti, in quanto esclusi dalla formazione dei reddito della società o dell’ente ricevente per il 50% del loro ammontare, a condizione che sia dimostrato, anche a seguito di interpello, l’effettivo svolgimento, da parte del soggetto non residente, di un’attività industriale o commerciale come sua principale attività, nel mercato della Stato o territorio di insediamento. In tal caso, al soggetto controllante residente nel territorio dello Stato, ovvero alle sue controllate residenti percipienti gli utili, è riconosciuto un credito d’imposta per i redditi prodotti all’estero in ragione delle imposte assolte dalla società partecipata sugli utili maturati durante il periodo di possesso della partecipazione, in proporzione alla quota imponibile degli utili conseguiti e nei limiti dell’imposta italiana relativa a tali utili. </w:t>
      </w:r>
    </w:p>
    <w:p w:rsidR="006649DC" w:rsidRPr="00BD0F30" w:rsidRDefault="006649DC" w:rsidP="00BD0F30">
      <w:pPr>
        <w:shd w:val="clear" w:color="auto" w:fill="FFFFFF"/>
        <w:jc w:val="both"/>
        <w:rPr>
          <w:rFonts w:ascii="Bookman Old Style" w:hAnsi="Bookman Old Style"/>
          <w:sz w:val="22"/>
          <w:szCs w:val="22"/>
        </w:rPr>
      </w:pPr>
      <w:r w:rsidRPr="00BD0F30">
        <w:rPr>
          <w:rFonts w:ascii="Bookman Old Style" w:hAnsi="Bookman Old Style"/>
          <w:sz w:val="22"/>
          <w:szCs w:val="22"/>
        </w:rPr>
        <w:t>(Legge di Bilancio 2018)</w:t>
      </w:r>
    </w:p>
    <w:p w:rsidR="006649DC" w:rsidRPr="00BD0F30" w:rsidRDefault="006649DC" w:rsidP="00BD0F30">
      <w:pPr>
        <w:shd w:val="clear" w:color="auto" w:fill="FFFFFF"/>
        <w:jc w:val="both"/>
        <w:rPr>
          <w:rFonts w:ascii="Bookman Old Style" w:hAnsi="Bookman Old Style"/>
          <w:sz w:val="22"/>
          <w:szCs w:val="22"/>
        </w:rPr>
      </w:pPr>
    </w:p>
    <w:p w:rsidR="006649DC" w:rsidRPr="00BD0F30" w:rsidRDefault="006649DC" w:rsidP="00BD0F30">
      <w:pPr>
        <w:pStyle w:val="NormalWeb"/>
        <w:shd w:val="clear" w:color="auto" w:fill="FFFFFF"/>
        <w:spacing w:before="0" w:beforeAutospacing="0" w:after="0" w:afterAutospacing="0"/>
        <w:jc w:val="both"/>
        <w:rPr>
          <w:rStyle w:val="Strong"/>
          <w:rFonts w:ascii="Bookman Old Style" w:hAnsi="Bookman Old Style" w:cs="Helvetica"/>
          <w:b w:val="0"/>
          <w:bCs/>
          <w:sz w:val="22"/>
          <w:szCs w:val="22"/>
          <w:u w:val="single"/>
        </w:rPr>
      </w:pPr>
      <w:r w:rsidRPr="00BD0F30">
        <w:rPr>
          <w:rStyle w:val="Strong"/>
          <w:rFonts w:ascii="Bookman Old Style" w:hAnsi="Bookman Old Style" w:cs="Helvetica"/>
          <w:b w:val="0"/>
          <w:bCs/>
          <w:sz w:val="22"/>
          <w:szCs w:val="22"/>
          <w:u w:val="single"/>
        </w:rPr>
        <w:t>Legge di Bilancio 2018: abbonamento per il trasporto pubblico sostenuto dal datore di lavoro</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L’articolo 1, comma 28, lettera b), legge n. 205/2017 ha aggiunto, al comma 2, dell’articolo 51 del TUIR (DPR 917/1986), tra gli elementi che non concorrono a formare il reddito del lavoro dipendente, le somme erogate o rimborsate ai dipendenti dal datore di lavoro o le spese da quest’ultimo direttamente sostenute per l’acquisto degli abbonamenti per il trasporto pubblico del dipendente e dei suoi familiari.</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Per non concorrere a formare il reddito di lavoro dipendente, queste le caratteristiche della disposizione:</w:t>
      </w:r>
      <w:r w:rsidRPr="00BD0F30">
        <w:rPr>
          <w:rFonts w:ascii="Bookman Old Style" w:hAnsi="Bookman Old Style" w:cs="Helvetica"/>
          <w:sz w:val="22"/>
          <w:szCs w:val="22"/>
        </w:rPr>
        <w:br/>
        <w:t>– Deve essere una volontà del datore di lavoro o deve essere previsto da un contratto, accordo o regolamento aziendale; </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deve essere previsto per la generalità o categorie di dipendenti (no “ad personam“); </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può essere previsto sia il rimborso al lavoratore che l’acquisto diretto da parte del datore di lavoro; </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non è previsto per singoli biglietti ma riguarda solo gli abbonamenti;</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 riguarda abbonamenti per il trasporto pubblico locale, regionale e interregionale; </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può essere effettuato per l’abbonamento utilizzato dal dipendente e/o dai suoi familiari. </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Per familiari, si intendono: </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-il coniuge (si considera «coniuge» ognuna delle parti dell’unione civile tra persone dello stesso sesso – art.1, co 20, L.76/2016);</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-i figli (anche adottivi) e, in loro mancanza, i discendenti prossimi; </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-i genitori e, in loro mancanza, gli ascendenti prossimi; gli adottanti; </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-i generi e le nuore; </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-il suocero e la suocera;</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-i fratelli e le sorelle germani o unilaterali, con precedenza dei germani sugli unilaterali.</w:t>
      </w:r>
      <w:r w:rsidRPr="00BD0F30">
        <w:rPr>
          <w:rFonts w:ascii="Bookman Old Style" w:hAnsi="Bookman Old Style" w:cs="Helvetica"/>
          <w:sz w:val="22"/>
          <w:szCs w:val="22"/>
        </w:rPr>
        <w:br/>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i/>
          <w:sz w:val="22"/>
          <w:szCs w:val="22"/>
        </w:rPr>
      </w:pPr>
      <w:r w:rsidRPr="00BD0F30">
        <w:rPr>
          <w:rFonts w:ascii="Bookman Old Style" w:hAnsi="Bookman Old Style" w:cs="Helvetica"/>
          <w:i/>
          <w:sz w:val="22"/>
          <w:szCs w:val="22"/>
        </w:rPr>
        <w:t>Il nuovo comma 2 dell’articolo 51 del TUIR</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Non concorrono a formare il reddito:</w:t>
      </w:r>
    </w:p>
    <w:p w:rsidR="006649DC" w:rsidRPr="00BD0F30" w:rsidRDefault="006649DC" w:rsidP="00BD0F30">
      <w:pPr>
        <w:pStyle w:val="NormalWeb"/>
        <w:numPr>
          <w:ilvl w:val="0"/>
          <w:numId w:val="28"/>
        </w:numPr>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i contributi previdenziali e assistenziali versati dal datore di lavoro o dal lavoratore in ottemperanza a disposizioni di legge; i contributi di assistenza sanitaria versati dal datore di lavoro o dal lavoratore ad enti o casse aventi esclusivamente fine assistenziale in conformità a disposizioni di contratto o di accordo o di regolamento aziendale, che operino negli ambiti di intervento stabiliti con il decreto del Ministro della salute di cui all’articolo 10, comma 1, lettera e-ter), per un importo non superiore complessivamente ad euro 3.615,20. Ai fini del calcolo del predetto limite si tiene conto anche dei contributi di assistenza sanitaria versati ai sensi dell’art. 10, comma 1, lettera e-ter);</w:t>
      </w:r>
    </w:p>
    <w:p w:rsidR="006649DC" w:rsidRPr="00BD0F30" w:rsidRDefault="006649DC" w:rsidP="00BD0F30">
      <w:pPr>
        <w:pStyle w:val="NormalWeb"/>
        <w:numPr>
          <w:ilvl w:val="0"/>
          <w:numId w:val="28"/>
        </w:numPr>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lettera soppressa dal d.l. n. 93/2008, convertito con modificazioni dalla l. n. 126/2008;</w:t>
      </w:r>
    </w:p>
    <w:p w:rsidR="006649DC" w:rsidRPr="00BD0F30" w:rsidRDefault="006649DC" w:rsidP="00BD0F30">
      <w:pPr>
        <w:pStyle w:val="NormalWeb"/>
        <w:numPr>
          <w:ilvl w:val="0"/>
          <w:numId w:val="28"/>
        </w:numPr>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le somministrazioni di vitto da parte del datore di lavoro, nonché quelle in mense organizzate direttamente dal datore di lavoro o gestite da terzi, o, fino all’importo complessivo giornaliero di euro 5,29, aumentato a euro 7 nel caso in cui le stesse siano rese in forma elettronica, le prestazioni e le indennità sostitutive corrisposte agli addetti ai cantieri edili, ad altre strutture lavorative a carattere temporaneo o ad unità produttive ubicate in zone dove manchino strutture o servizi di ristorazione;</w:t>
      </w:r>
    </w:p>
    <w:p w:rsidR="006649DC" w:rsidRPr="00BD0F30" w:rsidRDefault="006649DC" w:rsidP="00BD0F30">
      <w:pPr>
        <w:pStyle w:val="NormalWeb"/>
        <w:numPr>
          <w:ilvl w:val="0"/>
          <w:numId w:val="28"/>
        </w:numPr>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le prestazioni di servizi di trasporto collettivo alla generalità o a categorie di dipendenti; anche se affidate a terzi ivi compresi gli esercenti servizi pubblici;</w:t>
      </w:r>
      <w:r w:rsidRPr="00BD0F30">
        <w:rPr>
          <w:rFonts w:ascii="Bookman Old Style" w:hAnsi="Bookman Old Style" w:cs="Helvetica"/>
          <w:sz w:val="22"/>
          <w:szCs w:val="22"/>
        </w:rPr>
        <w:br/>
        <w:t>d-bis) le somme erogate o rimborsate alla generalità o a categorie di dipendenti dal datore di lavoro o le spese da quest’ultimo direttamente sostenute, volontariamente o in conformità a disposizioni di contratto, di accordo o di regolamento aziendale, per l’acquisto degli abbonamenti per il trasporto pubblico locale, regionale e interregionale del dipendente e dei familiari indicati nell’articolo 12 che si trovano nelle condizioni previste nel comma 2 del medesimo articolo 12; (Legge 205/2017)</w:t>
      </w:r>
    </w:p>
    <w:p w:rsidR="006649DC" w:rsidRPr="00BD0F30" w:rsidRDefault="006649DC" w:rsidP="00BD0F30">
      <w:pPr>
        <w:pStyle w:val="NormalWeb"/>
        <w:numPr>
          <w:ilvl w:val="0"/>
          <w:numId w:val="28"/>
        </w:numPr>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i compensi reversibili di cui alle lettere b) ed f) del comma 1 dell’articolo 47;</w:t>
      </w:r>
    </w:p>
    <w:p w:rsidR="006649DC" w:rsidRPr="00BD0F30" w:rsidRDefault="006649DC" w:rsidP="00BD0F30">
      <w:pPr>
        <w:pStyle w:val="NormalWeb"/>
        <w:numPr>
          <w:ilvl w:val="0"/>
          <w:numId w:val="28"/>
        </w:numPr>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l’utilizzazione delle opere e dei servizi riconosciuti dal datore di lavoro volontariamente o in conformità a disposizioni di contratto o di accordo o di regolamento aziendale, offerti alla generalità dei dipendenti o a categorie di dipendenti e ai familiari indicati nell’art. 12 per le finalità di cui al comma 1 dell’articolo 100;</w:t>
      </w:r>
    </w:p>
    <w:p w:rsidR="006649DC" w:rsidRPr="00BD0F30" w:rsidRDefault="006649DC" w:rsidP="00BD0F30">
      <w:pPr>
        <w:pStyle w:val="NormalWeb"/>
        <w:shd w:val="clear" w:color="auto" w:fill="FFFFFF"/>
        <w:spacing w:before="0" w:beforeAutospacing="0" w:after="0" w:afterAutospacing="0"/>
        <w:ind w:left="720"/>
        <w:jc w:val="both"/>
        <w:rPr>
          <w:rFonts w:ascii="Bookman Old Style" w:hAnsi="Bookman Old Style" w:cs="Helvetica"/>
          <w:sz w:val="22"/>
          <w:szCs w:val="22"/>
        </w:rPr>
      </w:pPr>
      <w:r w:rsidRPr="00BD0F30">
        <w:rPr>
          <w:rFonts w:ascii="Bookman Old Style" w:hAnsi="Bookman Old Style" w:cs="Helvetica"/>
          <w:sz w:val="22"/>
          <w:szCs w:val="22"/>
        </w:rPr>
        <w:t>f-bis) le somme, i servizi e le prestazioni erogati dal datore di lavoro alla generalità dei dipendenti o a categorie di dipendenti per la fruizione, da parte dei familiari indicati nell’art. 12, dei servizi di educazione e istruzione anche in età prescolare, compresi i servizi integrativi e di mensa ad essi connessi, nonché per la frequenza di ludoteche e di centri estivi e invernali e per borse di studio a favore dei medesimi familiari;</w:t>
      </w:r>
      <w:r w:rsidRPr="00BD0F30">
        <w:rPr>
          <w:rFonts w:ascii="Bookman Old Style" w:hAnsi="Bookman Old Style" w:cs="Helvetica"/>
          <w:sz w:val="22"/>
          <w:szCs w:val="22"/>
        </w:rPr>
        <w:br/>
        <w:t>f-ter) le somme e le prestazioni erogate dal datore di lavoro alla generalità dei dipendenti o a categorie di dipendenti per la fruizione dei servizi di assistenza ai familiari anziani o non autosufficienti indicati nell’art. 12;</w:t>
      </w:r>
    </w:p>
    <w:p w:rsidR="006649DC" w:rsidRPr="00BD0F30" w:rsidRDefault="006649DC" w:rsidP="00BD0F30">
      <w:pPr>
        <w:pStyle w:val="NormalWeb"/>
        <w:shd w:val="clear" w:color="auto" w:fill="FFFFFF"/>
        <w:spacing w:before="0" w:beforeAutospacing="0" w:after="0" w:afterAutospacing="0"/>
        <w:ind w:left="720"/>
        <w:jc w:val="both"/>
        <w:rPr>
          <w:rFonts w:ascii="Bookman Old Style" w:hAnsi="Bookman Old Style" w:cs="Helvetica"/>
          <w:sz w:val="22"/>
          <w:szCs w:val="22"/>
        </w:rPr>
      </w:pPr>
      <w:r w:rsidRPr="00BD0F30">
        <w:rPr>
          <w:rFonts w:ascii="Bookman Old Style" w:hAnsi="Bookman Old Style" w:cs="Helvetica"/>
          <w:sz w:val="22"/>
          <w:szCs w:val="22"/>
        </w:rPr>
        <w:t>f-quater) i contributi e i premi versati dal datore di lavoro a favore della generalità dei dipendenti o di categorie di dipendenti per prestazioni, anche in forma assicurativa, aventi per oggetto il rischio di non autosufficienza nel compimento degli atti della vita quotidiana, le cui caratteristiche sono definite dall’art. 2, comma 2, lettera d), numeri 1) e 2), del decreto del Ministro del lavoro 27 ott 2009, pubblicato nella GU n. 12 del 16 gen 2010, o aventi per oggetto il rischio di gravi patologie;</w:t>
      </w:r>
    </w:p>
    <w:p w:rsidR="006649DC" w:rsidRPr="00BD0F30" w:rsidRDefault="006649DC" w:rsidP="00BD0F30">
      <w:pPr>
        <w:pStyle w:val="NormalWeb"/>
        <w:numPr>
          <w:ilvl w:val="0"/>
          <w:numId w:val="28"/>
        </w:numPr>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xml:space="preserve"> il valore delle azioni offerte alla generalità dei dipendenti per un importo non superiore complessivamente nel periodo d’imposta a lire 4 milioni, a condizione che non siano riacquistate dalla società emittente o dal datore di lavoro o comunque cedute prima che siano trascorsi almeno 3 anni dalla percezione; qualora le azioni siano cedute prima del predetto termine, l’importo che non ha concorso a formare il reddito al momento dell’acquisto è assoggettato a tassazione nel periodo d’imposta in cui avviene la cessione;</w:t>
      </w:r>
    </w:p>
    <w:p w:rsidR="006649DC" w:rsidRPr="00BD0F30" w:rsidRDefault="006649DC" w:rsidP="00BD0F30">
      <w:pPr>
        <w:pStyle w:val="NormalWeb"/>
        <w:numPr>
          <w:ilvl w:val="0"/>
          <w:numId w:val="28"/>
        </w:numPr>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g-bis) lettera abrogata dal d.l. n. 112/2008, convertito con modificazioni dalla l. n. 133/2008;</w:t>
      </w:r>
    </w:p>
    <w:p w:rsidR="006649DC" w:rsidRPr="00BD0F30" w:rsidRDefault="006649DC" w:rsidP="00BD0F30">
      <w:pPr>
        <w:pStyle w:val="NormalWeb"/>
        <w:numPr>
          <w:ilvl w:val="0"/>
          <w:numId w:val="28"/>
        </w:numPr>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le somme trattenute al dipendente per oneri di cui all’art. 10 e alle condizioni ivi previste, nonchè le erogazioni effettuate dal datore di lavoro in conformità a contratti collettivi o ad accordi e regolamenti aziendali a fronte delle spese sanitarie di cui allo stesso art. 10, comma 1, lettera b). Gli importi delle predette somme ed erogazioni devono essere attestate dal datore di lavoro;</w:t>
      </w:r>
    </w:p>
    <w:p w:rsidR="006649DC" w:rsidRPr="00BD0F30" w:rsidRDefault="006649DC" w:rsidP="00BD0F30">
      <w:pPr>
        <w:pStyle w:val="NormalWeb"/>
        <w:numPr>
          <w:ilvl w:val="0"/>
          <w:numId w:val="28"/>
        </w:numPr>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le mance percepite dagli impiegati tecnici delle case da gioco (croupiers) direttamente o per effetto del riparto a cura di appositi organismi costituiti all’interno dell’impresa nella misura del 25% dell’ammontare percepito nel periodo d’imposta.</w:t>
      </w:r>
      <w:r w:rsidRPr="00BD0F30">
        <w:rPr>
          <w:rFonts w:ascii="Bookman Old Style" w:hAnsi="Bookman Old Style" w:cs="Helvetica"/>
          <w:sz w:val="22"/>
          <w:szCs w:val="22"/>
        </w:rPr>
        <w:br/>
        <w:t>i-bis) le quote di retribuzione derivanti dall’esercizio, da parte del lavoratore, della facoltà di rinuncia all’accredito contributivo presso l’assicurazione generale obbligatoria per l’invalidità, la vecchiaia ed i superstiti dei lavoratori dipendenti e le forme sostitutive della medesima, per il periodo successivo alla prima scadenza utile per il pensionamento di anzianità, dopo aver maturato i requisiti minimi secondo la vigente normativa.</w:t>
      </w:r>
    </w:p>
    <w:p w:rsidR="006649DC" w:rsidRPr="00BD0F30" w:rsidRDefault="006649DC" w:rsidP="00BD0F30">
      <w:pPr>
        <w:pStyle w:val="NormalWeb"/>
        <w:shd w:val="clear" w:color="auto" w:fill="FFFFFF"/>
        <w:spacing w:before="0" w:beforeAutospacing="0" w:after="0" w:afterAutospacing="0"/>
        <w:ind w:left="360"/>
        <w:jc w:val="both"/>
        <w:rPr>
          <w:rFonts w:ascii="Bookman Old Style" w:hAnsi="Bookman Old Style" w:cs="Helvetica"/>
          <w:sz w:val="22"/>
          <w:szCs w:val="22"/>
        </w:rPr>
      </w:pPr>
      <w:r w:rsidRPr="00BD0F30">
        <w:rPr>
          <w:rFonts w:ascii="Bookman Old Style" w:hAnsi="Bookman Old Style" w:cs="Helvetica"/>
          <w:sz w:val="22"/>
          <w:szCs w:val="22"/>
        </w:rPr>
        <w:t>(Comma 2, articolo 51 TUIR, DPR 917/1986)</w:t>
      </w:r>
    </w:p>
    <w:p w:rsidR="006649DC" w:rsidRDefault="006649DC" w:rsidP="00797AED">
      <w:pPr>
        <w:pStyle w:val="Corpotesto1"/>
        <w:rPr>
          <w:b/>
          <w:sz w:val="28"/>
          <w:szCs w:val="28"/>
        </w:rPr>
      </w:pPr>
    </w:p>
    <w:p w:rsidR="006649DC" w:rsidRDefault="006649DC" w:rsidP="00797AED">
      <w:pPr>
        <w:pStyle w:val="Corpotesto1"/>
        <w:rPr>
          <w:b/>
          <w:sz w:val="28"/>
          <w:szCs w:val="28"/>
        </w:rPr>
      </w:pPr>
    </w:p>
    <w:p w:rsidR="006649DC" w:rsidRDefault="006649DC" w:rsidP="00797AED">
      <w:pPr>
        <w:pStyle w:val="Corpotesto1"/>
        <w:rPr>
          <w:b/>
          <w:sz w:val="28"/>
          <w:szCs w:val="28"/>
        </w:rPr>
      </w:pPr>
    </w:p>
    <w:p w:rsidR="006649DC" w:rsidRDefault="006649DC" w:rsidP="00797AED">
      <w:pPr>
        <w:pStyle w:val="Corpotesto1"/>
        <w:rPr>
          <w:b/>
          <w:sz w:val="28"/>
          <w:szCs w:val="28"/>
        </w:rPr>
      </w:pPr>
    </w:p>
    <w:p w:rsidR="006649DC" w:rsidRDefault="006649DC" w:rsidP="006970D0">
      <w:pPr>
        <w:pStyle w:val="Heading3"/>
        <w:rPr>
          <w:b/>
          <w:color w:val="000000"/>
          <w:sz w:val="28"/>
          <w:szCs w:val="28"/>
          <w:u w:val="none"/>
        </w:rPr>
      </w:pPr>
      <w:bookmarkStart w:id="95" w:name="_Toc448485273"/>
      <w:bookmarkStart w:id="96" w:name="_Toc448485397"/>
      <w:bookmarkStart w:id="97" w:name="_Toc448485536"/>
      <w:bookmarkStart w:id="98" w:name="_Toc448485664"/>
      <w:bookmarkStart w:id="99" w:name="_Toc448485788"/>
      <w:bookmarkStart w:id="100" w:name="_Toc448485891"/>
      <w:bookmarkStart w:id="101" w:name="_Toc448494594"/>
      <w:bookmarkStart w:id="102" w:name="_Toc469935664"/>
      <w:bookmarkStart w:id="103" w:name="_Toc506559953"/>
      <w:r w:rsidRPr="005D7932">
        <w:rPr>
          <w:b/>
          <w:color w:val="000000"/>
          <w:sz w:val="28"/>
          <w:szCs w:val="28"/>
          <w:u w:val="none"/>
        </w:rPr>
        <w:t>ALTRE IMPOSTE INDIRETTE, IRAP e TRIBUTI LOCALI</w:t>
      </w:r>
      <w:bookmarkEnd w:id="95"/>
      <w:bookmarkEnd w:id="96"/>
      <w:bookmarkEnd w:id="97"/>
      <w:bookmarkEnd w:id="98"/>
      <w:bookmarkEnd w:id="99"/>
      <w:bookmarkEnd w:id="100"/>
      <w:bookmarkEnd w:id="101"/>
      <w:bookmarkEnd w:id="102"/>
      <w:bookmarkEnd w:id="103"/>
    </w:p>
    <w:p w:rsidR="006649DC" w:rsidRPr="00BD0F30" w:rsidRDefault="006649DC" w:rsidP="00BD0F30">
      <w:pPr>
        <w:shd w:val="clear" w:color="auto" w:fill="FFFFFF"/>
        <w:jc w:val="both"/>
        <w:rPr>
          <w:rFonts w:ascii="Bookman Old Style" w:hAnsi="Bookman Old Style"/>
          <w:sz w:val="22"/>
          <w:szCs w:val="22"/>
        </w:rPr>
      </w:pPr>
      <w:r w:rsidRPr="00BD0F30">
        <w:rPr>
          <w:rFonts w:ascii="Bookman Old Style" w:hAnsi="Bookman Old Style"/>
          <w:sz w:val="22"/>
          <w:szCs w:val="22"/>
          <w:u w:val="single"/>
        </w:rPr>
        <w:t>Deposito bilancio 2018: diritti di segreteria aumentati</w:t>
      </w:r>
      <w:r w:rsidRPr="00BD0F30">
        <w:rPr>
          <w:rFonts w:ascii="Bookman Old Style" w:hAnsi="Bookman Old Style"/>
          <w:sz w:val="22"/>
          <w:szCs w:val="22"/>
        </w:rPr>
        <w:t xml:space="preserve"> </w:t>
      </w:r>
    </w:p>
    <w:p w:rsidR="006649DC" w:rsidRPr="00BD0F30" w:rsidRDefault="006649DC" w:rsidP="00BD0F30">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Il Ministero dello Sviluppo Economico, con il Decreto del 29 dicembre 2017, ha definito la misura della maggiorazione sui dei diritti di segreteria per il deposito dei bilanci presso il Registro Imprese con effetto dal 1° gennaio 2018. La maggiorazione è pari a 2,70 euro per tutte le società. Per l’anno 2018, i suddetti diritti di segreteria sono aumentati di € 2,70, elevando cosi: </w:t>
      </w:r>
    </w:p>
    <w:p w:rsidR="006649DC" w:rsidRPr="00BD0F30" w:rsidRDefault="006649DC" w:rsidP="00BD0F30">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 a € 92,70, il diritto di segreteria dovuto per il deposito di bilancio su supporto informatico; - a € 62,70, il diritto di segreteria dovuto per il deposito di bilancio in modalità telematica. Alla maggiorazione di € 2,70 non si applica la riduzione del 50%dell’importo previsto per le cooperative sociali. </w:t>
      </w:r>
    </w:p>
    <w:p w:rsidR="006649DC" w:rsidRPr="00BD0F30" w:rsidRDefault="006649DC" w:rsidP="00BD0F30">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Nel caso di deposito per via telematica del bilancio, la maggiorazione è riversata dal sistema informatico delle camere di commercio sull’apposito conto costituito presso l’Unione italiana delle camere di commercio, contestualmente all’emissione delle note di credito delle quote di pertinenza delle camere. </w:t>
      </w:r>
    </w:p>
    <w:p w:rsidR="006649DC" w:rsidRPr="00BD0F30" w:rsidRDefault="006649DC" w:rsidP="00BD0F30">
      <w:pPr>
        <w:shd w:val="clear" w:color="auto" w:fill="FFFFFF"/>
        <w:jc w:val="both"/>
        <w:rPr>
          <w:rFonts w:ascii="Bookman Old Style" w:hAnsi="Bookman Old Style"/>
          <w:sz w:val="22"/>
          <w:szCs w:val="22"/>
        </w:rPr>
      </w:pPr>
      <w:r w:rsidRPr="00BD0F30">
        <w:rPr>
          <w:rFonts w:ascii="Bookman Old Style" w:hAnsi="Bookman Old Style"/>
          <w:sz w:val="22"/>
          <w:szCs w:val="22"/>
        </w:rPr>
        <w:t xml:space="preserve">Nel caso di deposito del bilancio su supporto informatico digitale, la maggiorazione è accreditata dal gestore del sistema informatico delle camere di commercio in soluzione unica, sul citato conto, entro il 30 novembre 2018. Entro il 30 giugno 2018 ed entro il 31 dicembre 2018 l’Unione italiana delle camere di commercio versa all’Organismo italiano di contabilità (OIC) le maggiorazioni nonché le somme versate in eccedenza dalle imprese rispetto ai fabbisogni degli anni precedenti fino al conseguimento del fabbisogno per l’anno 2018 in misura non superiore alla somma di € 2.700.000,00. </w:t>
      </w:r>
    </w:p>
    <w:p w:rsidR="006649DC" w:rsidRPr="00BD0F30" w:rsidRDefault="006649DC" w:rsidP="00BD0F30">
      <w:pPr>
        <w:shd w:val="clear" w:color="auto" w:fill="FFFFFF"/>
        <w:jc w:val="both"/>
        <w:rPr>
          <w:rFonts w:ascii="Bookman Old Style" w:hAnsi="Bookman Old Style"/>
          <w:sz w:val="22"/>
          <w:szCs w:val="22"/>
        </w:rPr>
      </w:pPr>
      <w:r w:rsidRPr="00BD0F30">
        <w:rPr>
          <w:rFonts w:ascii="Bookman Old Style" w:hAnsi="Bookman Old Style"/>
          <w:sz w:val="22"/>
          <w:szCs w:val="22"/>
        </w:rPr>
        <w:t>(Ministero dello Sviluppo Economico, Decreto del 29 dicembre 2017)</w:t>
      </w:r>
    </w:p>
    <w:p w:rsidR="006649DC" w:rsidRDefault="006649DC" w:rsidP="00797AED">
      <w:pPr>
        <w:pStyle w:val="Corpotesto1"/>
        <w:rPr>
          <w:b/>
          <w:sz w:val="28"/>
          <w:szCs w:val="28"/>
        </w:rPr>
      </w:pPr>
    </w:p>
    <w:p w:rsidR="006649DC" w:rsidRDefault="006649DC" w:rsidP="00797AED">
      <w:pPr>
        <w:pStyle w:val="Corpotesto1"/>
        <w:rPr>
          <w:b/>
          <w:sz w:val="28"/>
          <w:szCs w:val="28"/>
        </w:rPr>
      </w:pPr>
    </w:p>
    <w:p w:rsidR="006649DC" w:rsidRDefault="006649DC" w:rsidP="00797AED">
      <w:pPr>
        <w:pStyle w:val="Corpotesto1"/>
        <w:rPr>
          <w:b/>
          <w:sz w:val="28"/>
          <w:szCs w:val="28"/>
        </w:rPr>
      </w:pPr>
    </w:p>
    <w:p w:rsidR="006649DC" w:rsidRPr="00DB5B57" w:rsidRDefault="006649DC" w:rsidP="00DB5B57">
      <w:pPr>
        <w:pStyle w:val="Heading3"/>
        <w:rPr>
          <w:b/>
          <w:color w:val="000000"/>
          <w:sz w:val="28"/>
          <w:szCs w:val="28"/>
          <w:u w:val="none"/>
        </w:rPr>
      </w:pPr>
      <w:bookmarkStart w:id="104" w:name="_Toc506559954"/>
      <w:r w:rsidRPr="00DB5B57">
        <w:rPr>
          <w:b/>
          <w:color w:val="000000"/>
          <w:sz w:val="28"/>
          <w:szCs w:val="28"/>
          <w:u w:val="none"/>
        </w:rPr>
        <w:t>ACCERTAMENTO / RISCOSSIONE / CONTENZIOSO</w:t>
      </w:r>
      <w:bookmarkEnd w:id="104"/>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u w:val="single"/>
        </w:rPr>
      </w:pPr>
      <w:r w:rsidRPr="0084312D">
        <w:rPr>
          <w:rFonts w:ascii="Bookman Old Style" w:hAnsi="Bookman Old Style" w:cs="Helvetica"/>
          <w:bCs/>
          <w:sz w:val="22"/>
          <w:szCs w:val="22"/>
          <w:u w:val="single"/>
        </w:rPr>
        <w:t>Dal 1 gennaio 2018 nelle Coop niente più amministratore unico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Nelle Coop non è più possibile nominare l’amministratore unico. Dunque, l’amministrazione delle società cooperative, a decorrere dal 1 gennaio 2018 deve essere affidata ad un organo collegiale formato da almeno tre soggetti.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Questo a seguito della modifica arrecata </w:t>
      </w:r>
      <w:hyperlink r:id="rId9" w:tgtFrame="_blank" w:history="1">
        <w:r w:rsidRPr="0084312D">
          <w:rPr>
            <w:rStyle w:val="Hyperlink"/>
            <w:rFonts w:ascii="Bookman Old Style" w:hAnsi="Bookman Old Style" w:cs="Helvetica"/>
            <w:color w:val="auto"/>
            <w:sz w:val="22"/>
            <w:szCs w:val="22"/>
          </w:rPr>
          <w:t xml:space="preserve">dall’art. 1, comma 936 della Legge 205/2017 </w:t>
        </w:r>
      </w:hyperlink>
      <w:r w:rsidRPr="0084312D">
        <w:rPr>
          <w:rFonts w:ascii="Bookman Old Style" w:hAnsi="Bookman Old Style" w:cs="Helvetica"/>
          <w:sz w:val="22"/>
          <w:szCs w:val="22"/>
        </w:rPr>
        <w:t>che ha mutato l’assetto normativo riguardante le cooperative con particolare riguardo, tra l’altro, alla composizione dell’organo amministrativo nonché al sistema sanzionatorio applicabile.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Pertanto, l’amministrazione delle cooperative dovrà essere affidata ad un organo collegiale formato da almeno tre soggetti, con durata massima triennale , scelti a maggioranza tra i soci cooperatori o tra le persone indicate dai soci cooperatori persone giuridiche.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Le cooperative già costituite ed attualmente amministrate da un unico soggetto devono convocare, senza indugio, l’assemblea per la nomina dei tre componenti del nuovo organo amministrativo, nonché la modifica dello statuto qualora non prevista la possibilità dell’organo collegiale.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Questo di seguito è il contenuto del citato comma della legge di bilancio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936. Al fine di contrastare l’evasione fiscale e agevolare l’accertamento e la riscossione da parte dell’Agenzia delle entrate, mediante il potenziamento del sistema di vigilanza nei confronti delle societa’ cooperative e delle sanzioni per il mancato rispetto del carattere mutualistico prevalente: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a) all’articolo 12 del decreto legislativo 2 agosto 2002, n. 220, sono apportate le seguenti modificazioni: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1) il comma 3 e’ sostituito dal seguente: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«3. Fermo restando quanto previsto dall’articolo 2638, secondo comma, del codice civile, gli enti cooperativi che si sottraggono all’attivita’ di vigilanza o non rispettano finalita’ mutualistiche sono cancellati, sentita la Commissione centrale per le cooperative, dall’albo nazionale degli enti cooperativi. Si applica il provvedimento di scioglimento per atto dell’autorita’ ai sensi dell’articolo 2545-septiesdecies del codice civile e dell’articolo 223-septiesdecies delle disposizioni per l’attuazione del codice civile e disposizioni transitorie, di cui al regio decreto 30 marzo 1942, n. 318, con conseguente obbligo di devoluzione del patrimonio ai sensi dell’articolo 2514, primo comma, lettera d), del codice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civile »;</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2) il comma 5-bis e’ sostituito dal seguente: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5-bis. Agli enti cooperativi che non ottemperino alla diffida impartita in sede di vigilanza senza giustificato motivo ovvero non ottemperino agli obblighi previsti dall’articolo 2545-octies del codice civile e’ applicata una maggiorazione del contributo biennale pari a tre volte l’importo dovuto. Le procedure per l’applicazione della maggiorazione del contributo sono definite con decreto del Ministro dello sviluppo economico »;</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3) il comma 5-ter e’ sostituito dal seguente: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5-ter. Lo scioglimento di un ente cooperativo e’ comunicato, entro trenta giorni, dal Ministero dello sviluppo economico all’Agenzia delle entrate, anche ai fini dell’applicazione dell’articolo 28, comma 4, del decreto legislativo 21 novembre 2014, n. 175 »;</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b) all’articolo 2542 del codice civile, dopo il primo comma e’ inserito il seguente: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«L’amministrazione della societa’ e’ affidata ad un organo collegiale formato da almeno tre soggetti. Alle cooperative di cui all’articolo 2519, secondo comma, si applica la disposizione prevista dall’articolo 2383, secondo comma »;</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c) all’articolo 2545-sexiesdecies del codice civile sono apportate le seguenti modificazioni: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1) al primo comma, le parole: « irregolare funzionamento » sono sostituite dalle seguenti: « gravi irregolarita’ di funzionamento o fondati indizi di crisi »;</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2) al terzo comma, le parole: « di cui ai commi precedenti » sono sostituite dalle parole: « di cui al quarto comma »;</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3) dopo il terzo comma e’ aggiunto il seguente: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Laddove vengano accertate una o piu’ irregolarita’ suscettibili di specifico adempimento, l’autorita’ di vigilanza, previa diffida, puo’ nominare un commissario, anche nella persona del legale rappresentante o di un componente dell’organo di controllo societario, che si sostituisce agli organi amministrativi dell’ente, limitatamente al compimento degli specifici adempimenti indicati ».</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(legge di Bilancio 2018)</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bCs/>
          <w:sz w:val="22"/>
          <w:szCs w:val="22"/>
          <w:u w:val="single"/>
        </w:rPr>
      </w:pPr>
      <w:r w:rsidRPr="0084312D">
        <w:rPr>
          <w:rFonts w:ascii="Bookman Old Style" w:hAnsi="Bookman Old Style" w:cs="Helvetica"/>
          <w:bCs/>
          <w:sz w:val="22"/>
          <w:szCs w:val="22"/>
          <w:u w:val="single"/>
        </w:rPr>
        <w:t>Comunicazione dei dati delle fatture emesse e ricevute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Il decreto fiscale collegato alla manovra di bilancio 2018 (articolo 1-ter, Dl 148/2017) ha introdotto alcune misure di semplificazione della comunicazione dei dati delle fatture (articolo 21, Dl 78/2010).</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bCs/>
          <w:sz w:val="22"/>
          <w:szCs w:val="22"/>
          <w:u w:val="single"/>
        </w:rPr>
      </w:pPr>
      <w:r w:rsidRPr="0084312D">
        <w:rPr>
          <w:rFonts w:ascii="Bookman Old Style" w:hAnsi="Bookman Old Style" w:cs="Helvetica"/>
          <w:sz w:val="22"/>
          <w:szCs w:val="22"/>
        </w:rPr>
        <w:t>In particolare, il decreto ha previsto:</w:t>
      </w:r>
    </w:p>
    <w:p w:rsidR="006649DC" w:rsidRPr="0084312D" w:rsidRDefault="006649DC" w:rsidP="00BD0F30">
      <w:pPr>
        <w:pStyle w:val="western"/>
        <w:numPr>
          <w:ilvl w:val="0"/>
          <w:numId w:val="29"/>
        </w:numPr>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la possibilità di effettuare la trasmissione dei dati anche con cadenza semestrale;</w:t>
      </w:r>
    </w:p>
    <w:p w:rsidR="006649DC" w:rsidRPr="0084312D" w:rsidRDefault="006649DC" w:rsidP="00BD0F30">
      <w:pPr>
        <w:pStyle w:val="western"/>
        <w:numPr>
          <w:ilvl w:val="0"/>
          <w:numId w:val="29"/>
        </w:numPr>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la compilazione facoltativa dei dati anagrafici di dettaglio delle controparti per le fatture di importo inferiore a 300 euro, registrate cumulativamente, la facoltà di indicare solo i dati del documento riepilogativo.</w:t>
      </w:r>
    </w:p>
    <w:p w:rsidR="006649DC" w:rsidRPr="0084312D" w:rsidRDefault="006649DC" w:rsidP="00BD0F30">
      <w:pPr>
        <w:pStyle w:val="western"/>
        <w:shd w:val="clear" w:color="auto" w:fill="FFFFFF"/>
        <w:spacing w:before="0" w:beforeAutospacing="0" w:after="0" w:afterAutospacing="0"/>
        <w:ind w:left="720"/>
        <w:jc w:val="both"/>
        <w:rPr>
          <w:rFonts w:ascii="Bookman Old Style" w:hAnsi="Bookman Old Style" w:cs="Helvetica"/>
          <w:i/>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i/>
          <w:sz w:val="22"/>
          <w:szCs w:val="22"/>
        </w:rPr>
        <w:t>La bozza di provvedimento con le nuove specifiche tecniche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Pr>
          <w:rFonts w:ascii="Bookman Old Style" w:hAnsi="Bookman Old Style" w:cs="Helvetica"/>
          <w:sz w:val="22"/>
          <w:szCs w:val="22"/>
        </w:rPr>
        <w:t>L</w:t>
      </w:r>
      <w:r w:rsidRPr="0084312D">
        <w:rPr>
          <w:rFonts w:ascii="Bookman Old Style" w:hAnsi="Bookman Old Style" w:cs="Helvetica"/>
          <w:sz w:val="22"/>
          <w:szCs w:val="22"/>
        </w:rPr>
        <w:t>e specifiche tecniche per la trasmissione dei dati vengono adeguate alle nuove disposizioni.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In particolare, si prevede che per ogni documento riepilogativo delle fatture emesse, i dati da inviare sono: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il numero e la data di registrazione del documento;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la partita Iva del cedente/prestatore;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la base imponibile;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l’aliquota Iva applicata e l’imposta ovvero, ove l’operazione non comporti l’annotazione dell’imposta nel documento, la tipologia dell’operazione.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Invece, per ogni documento riepilogativo delle fatture ricevute, i dati da inviare sono: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il numero e la data di registrazione del documento;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la partita Iva del cessionario/committente;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la base imponibile;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l’aliquota Iva applicata e l’imposta ovvero, ove l’operazione non comporti l’annotazione dell’imposta nel documento, la tipologia dell’operazione.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Tali dati sostituiscono quelli più numerosi, previsti dal provvedimento del 27 marzo 2017, relativi al singolo documento (dati identificativi del cedente/prestatore, quelli del cessionario/committente, la data del documento, la data di registrazione per le fatture ricevute e le relative note di variazione, il numero del documento, la base imponibile, l’aliquota Iva applicata e l’imposta o, nel caso in cui l’operazione non comporti l’annotazione dell’imposta nel documento, la tipologia dell’operazione).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Le nuove regole tecniche valgono anche: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per i contribuenti che hanno esercitato l’opzione per la trasmissione telematica dei dati delle fatture, emesse e ricevute disciplinata dal provvedimento n. 182070 del 28 ottobre 2016 (a questi contribuenti, inoltre, viene estesa la facoltà di invio con cadenza semestrale)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per l’integrazione delle comunicazioni relative al primo semestre 2017. </w:t>
      </w:r>
      <w:r w:rsidRPr="0084312D">
        <w:rPr>
          <w:rFonts w:ascii="Bookman Old Style" w:hAnsi="Bookman Old Style" w:cs="Helvetica"/>
          <w:sz w:val="22"/>
          <w:szCs w:val="22"/>
        </w:rPr>
        <w:br/>
        <w:t>La bozza di provvedimento, inoltre, allinea i termini per l’effettuazione della comunicazione opzionale con quelli previsti per la comunicazione obbligatoria.</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In materia di termini, peraltro, si stabilisce che la scadenza della comunicazione dei dati delle fatture del secondo semestre 2017 slitta al sessantesimo giorno successivo alla data di adozione della versione definitiva del provvedimento.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(Legge di bilancio 2018, articolo 1-ter, Dl 148/2017)</w:t>
      </w:r>
    </w:p>
    <w:p w:rsidR="006649DC" w:rsidRDefault="006649DC" w:rsidP="0082389A">
      <w:pPr>
        <w:pStyle w:val="Heading3"/>
        <w:rPr>
          <w:b/>
          <w:color w:val="000000"/>
          <w:sz w:val="28"/>
          <w:szCs w:val="28"/>
          <w:u w:val="none"/>
        </w:rPr>
      </w:pPr>
    </w:p>
    <w:p w:rsidR="006649DC" w:rsidRDefault="006649DC" w:rsidP="006E7FF2"/>
    <w:p w:rsidR="006649DC" w:rsidRDefault="006649DC" w:rsidP="006E7FF2"/>
    <w:p w:rsidR="006649DC" w:rsidRPr="006E7FF2" w:rsidRDefault="006649DC" w:rsidP="006E7FF2"/>
    <w:p w:rsidR="006649DC" w:rsidRDefault="006649DC" w:rsidP="0082389A">
      <w:pPr>
        <w:pStyle w:val="Heading3"/>
        <w:rPr>
          <w:b/>
          <w:color w:val="000000"/>
          <w:sz w:val="28"/>
          <w:szCs w:val="28"/>
          <w:u w:val="none"/>
        </w:rPr>
      </w:pPr>
      <w:bookmarkStart w:id="105" w:name="_Toc506559955"/>
      <w:r w:rsidRPr="005D7932">
        <w:rPr>
          <w:b/>
          <w:color w:val="000000"/>
          <w:sz w:val="28"/>
          <w:szCs w:val="28"/>
          <w:u w:val="none"/>
        </w:rPr>
        <w:t>VARIE</w:t>
      </w:r>
      <w:bookmarkEnd w:id="105"/>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u w:val="single"/>
        </w:rPr>
      </w:pPr>
      <w:bookmarkStart w:id="106" w:name="_Toc448485276"/>
      <w:bookmarkStart w:id="107" w:name="_Toc448485400"/>
      <w:bookmarkStart w:id="108" w:name="_Toc448485539"/>
      <w:bookmarkStart w:id="109" w:name="_Toc448485667"/>
      <w:bookmarkStart w:id="110" w:name="_Toc448485791"/>
      <w:bookmarkStart w:id="111" w:name="_Toc448485894"/>
      <w:bookmarkStart w:id="112" w:name="_Toc448494597"/>
      <w:r w:rsidRPr="0084312D">
        <w:rPr>
          <w:rFonts w:ascii="Bookman Old Style" w:hAnsi="Bookman Old Style" w:cs="Helvetica"/>
          <w:bCs/>
          <w:sz w:val="22"/>
          <w:szCs w:val="22"/>
          <w:u w:val="single"/>
        </w:rPr>
        <w:t>Debutta il credito d’imposta per le imprese culturali e creative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Arrivato anche il nuovo bonus per le imprese culturali e creative, debutta, infatti, da quest’anno la nuova misura che vuole avvantaggiare tali soggetti. Difatti, la Legge di Bilancio 2018 (art. 1, commi da 57 a 60, Legge n. 205/2017) ha istituito il nuovo credito d’imposta in relazione alle attività di sviluppo, produzione e promozione di prodotti e servizi culturali e creativi.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Beneficiari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L’agevolazione è rivolta alle imprese culturali e creative, ovvero le imprese ed i soggetti che rispondono alle seguenti caratteristiche: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svolgono attività stabile e continuativa con sede in Italia, in UE o in uno Stato aderente allo Spazio economico europeo;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sono soggetti passivi d’imposta in Italia;</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hanno quale oggetto sociale attività (quali l’ideazione, la creazione ed altre fattispecie elencate dalla norma) relativa ai prodotti culturali, ovvero i beni, servizi e opere dell’ingegno inerenti letteratura, musica, arti figurative ed applicate, spettacolo dal vivo, cinematografia e audiovisivo, archivi, biblioteche, musei, patrimonio culturale e relativi processi di innovazione.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Agevolazione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Dunque, il bonus, che consiste in un credito d’imposta pari al 30% dei costi per attività di sviluppo, produzione e promozione di prodotti e servizi culturali e creativi, verrà attribuito nel limite di spesa di 500.000 euro per il 2018 e di 1 milione di euro per ciascuno degli anni 2019 e 2020. Il medesimo bonus verrà concesso nei limiti della normativa europea cd. de minimis (Regolamento UE n. 1407/2013) che individua gli aiuti di stato di importanza minore compatibili con le norme dei Trattati UE.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Modalità e termini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Un decreto del Ministro dei beni e delle attività culturali di prossima emanazione dovrà definire anche le norme applicative del credito d’imposta con riferimento alle tipologie di interventi eleggibili, alle procedure di ammissione e a quelle di recupero nel caso di uso illegittimo dell’agevolazione.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(Legge di Bilancio 2018)</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u w:val="single"/>
        </w:rPr>
      </w:pPr>
      <w:r w:rsidRPr="0084312D">
        <w:rPr>
          <w:rFonts w:ascii="Bookman Old Style" w:hAnsi="Bookman Old Style" w:cs="Helvetica"/>
          <w:bCs/>
          <w:sz w:val="22"/>
          <w:szCs w:val="22"/>
          <w:u w:val="single"/>
        </w:rPr>
        <w:t>Proroga di un anno per “bonus elettrodomestici e mobili”: ecco la guida aggiornata dell’Agenzia</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È disponibile dal 22 gennaio 2018, sul sito internet delle Entrate, la guida denominata “l’Agenzia informa”, che contiene l’aggiornamento della guida “Bonus mobili ed elettrodomestici”.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Per gli acquisti che si effettueranno nel 2018 l’agevolazione potrà essere richiesta solo da chi ha realizzato un intervento di ristrutturazione edilizia iniziato a partire dal 1° gennaio 2017.</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Il bonus, prorogato a tutto l’anno in corso dalla Legge di bilancio 2018 (legge n. 205/2017), viene riconosciuto per gli acquisti di mobili e di grandi elettrodomestici destinati ad arredare un immobile ristrutturato.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Consiste in una detrazione Irpef del 50%, da calcolare su un tetto massimo di spesa di 10mila euro per unità immobiliare e da ripartire in dieci quote annuali di pari importo. La legge non ha introdotto novità sui beni agevolabili, sulle tipologie di interventi che danno diritto all’agevolazione, sulle modalità di pagamento e sulla documentazione da conservare.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Acquisti agevolati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L’opuscolo evidenzia, anzitutto, che le tipologie di mobili e di elettrodomestici agevolabili devono essere nuovi e destinati ad arredare l’immobile che si ristruttura.</w:t>
      </w:r>
      <w:r w:rsidRPr="0084312D">
        <w:rPr>
          <w:rFonts w:ascii="Bookman Old Style" w:hAnsi="Bookman Old Style" w:cs="Helvetica"/>
          <w:sz w:val="22"/>
          <w:szCs w:val="22"/>
        </w:rPr>
        <w:br/>
        <w:t>Tra i mobili, rientrano nell’agevolazione: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Letti, armadi, cassettiere, librerie, scrivanie, tavoli, sedie, comodini, divani, poltrone, credenze. Ma anche i materassi e gli apparecchi di illuminazione, poiché costituiscono un “necessario completamento dell’arredo” dell’immobile ristrutturato.</w:t>
      </w:r>
      <w:r w:rsidRPr="0084312D">
        <w:rPr>
          <w:rFonts w:ascii="Bookman Old Style" w:hAnsi="Bookman Old Style" w:cs="Helvetica"/>
          <w:sz w:val="22"/>
          <w:szCs w:val="22"/>
        </w:rPr>
        <w:br/>
        <w:t>Non sono ammessi, invece, porte, pavimentazioni, tende e tendaggi, altri complementi di arredo. Per quanto riguarda i grandi elettrodomestici, il beneficio spetta per quelli con etichetta energetica di classe A+ o superiore (per i forni A o superiore). L’acquisto di grandi elettrodomestici sprovvisti di etichetta energetica sono agevolabili a condizione che per essi non ne sia stato ancora previsto l’obbligo.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Per l’individuazione dei “grandi elettrodomestici”, nella circolare n. 7/E del 4 aprile 2017 l’Agenzia ha proposto di far riferimento all’Allegato II del decreto legislativo n. 49 del 14 marzo 2014.</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Nell’importo delle spese detraibili possono essere incluse anche quelle di trasporto e di montaggio dei beni acquistati.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Principali condizioni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L’Agenzia ricorda che per ottenere il bonus occorre aver realizzato un intervento di recupero del patrimonio edilizio e usufruire della relativa detrazione, sia su una singola unità immobiliare sia su parti comuni di edifici residenziali. Ma non tutti gli interventi consentono l’accesso al beneficio. Per questo nell’opuscolo vengono elencate tutte le opere per le quali viene riconosciuto. Per esempio, non può essere richiesto quando si realizzano posti auto o box di pertinenza dell’abitazione o quando sono stati effettuati interventi diretti all’adozione di misure finalizzate a prevenire il rischio del compimento di atti illeciti da parte di terzi.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È fondamentale, comunque, che la data dell’inizio dei lavori di ristrutturazione sia anteriore a quella in cui si comprano i beni. Non è importante, invece, che le spese di ristrutturazione siano state sostenute prima di quelle per l’arredo dell’immobile.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Modalità di pagamento degli acquisti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Bonifico bancario o postale, carta di credito o carta di debito: Sono queste le uniche modalità richieste dalla norma per fruire dell’agevolazione. Non sono ammessi contanti, assegni bancari o altri mezzi di pagamento. Per quanto riguarda i bonifici, basta utilizzare un semplice bonifico bancario o postale. Con la circolare n. 7/2016 l’Agenzia delle entrate ha infatti precisato che non è obbligatorio l’uso del bonifico soggetto a ritenuta appositamente predisposto dalle banche e da Poste Spa per le spese di ristrutturazione edilizia. Stesse modalità sono richieste per il pagamento delle spese di trasporto e di montaggio dei beni.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Conservazione dei documenti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Vanno conservati, anzitutto, le fatture, con la specifica della natura, della qualità e della quantità dei beni e dei servizi acquistati, e le ricevute di pagamento. È equivalente alla fattura lo scontrino che riporta il codice fiscale dell’acquirente, oltre alle stesse indicazioni sui beni comprati. Se lo scontrino non riporta i dati identificativi del compratore, si può ugualmente fruire del bonus a condizione che vi sia riconducibilità al contribuente titolare, per esempio, del bancomat in base alla corrispondenza con i dati della transazione (negoziante, importo, giorno di acquisto, ora).</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Il pagamento può essere documentato con la ricevuta del bonifico o, quando si paga con carta, attraverso la ricevuta di avvenuta transazione e documentazione di addebito sul conto corrente.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Inoltre, è bene mettere da parte, per essere eventualmente esibiti in sede controllo, i documenti dai quali si evince la classe energetica dell’elettrodomestico acquistato, se previsto l’obbligo dell’etichetta o, in caso contrario, una dichiarazione che attesti che per il prodotto acquistato non è ancora previsto tale obbligo.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Infine, per dimostrare la data di avvio dei lavori di recupero del patrimonio edilizio, devono essere conservati eventuali abilitazioni amministrative o comunicazioni richieste dalla legislazione edilizia, a seconda del tipo di lavoro da realizzare, oppure la comunicazione preventiva all’Azienda sanitaria locale, indicante la data di inizio dei lavori, quando è obbligatorio presentarla. Per gli interventi edilizi per i quali non sono previste comunicazioni o titoli abilitativi, è sufficiente attestare la data di inizio lavori con una semplice dichiarazione sostitutiva di atto di notorietà.</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(Legge di bilancio 2018)</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u w:val="single"/>
        </w:rPr>
      </w:pPr>
      <w:r w:rsidRPr="0084312D">
        <w:rPr>
          <w:rFonts w:ascii="Bookman Old Style" w:hAnsi="Bookman Old Style" w:cs="Helvetica"/>
          <w:bCs/>
          <w:sz w:val="22"/>
          <w:szCs w:val="22"/>
          <w:u w:val="single"/>
        </w:rPr>
        <w:t>Richiesta del certificato di agibilità per le imprese dello spettacolo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Il comma 1097, art. 1 della Legge n. 205/2017 ha modificato la parte relativa al rilascio del certificato di agibilità per le imprese dello spettacolo (art. 6, del Decreto legislativo del Capo provvisorio dello Stato n. 708 del 16 luglio 1947).</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Il certificato di agibilità ( di cui all’art. 10 del di tale Dlgs n. 708/1947) viene rilasciato dall’INPS ed è subordinato all’adempimento, da parte dell’impresa, degli obblighi posti dalla legge a suo carico.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La richiesta del certificato di agibilità va effettuata on-line, accedendo dal portale </w:t>
      </w:r>
      <w:hyperlink r:id="rId10" w:history="1">
        <w:r w:rsidRPr="0084312D">
          <w:rPr>
            <w:rStyle w:val="Hyperlink"/>
            <w:rFonts w:ascii="Bookman Old Style" w:hAnsi="Bookman Old Style" w:cs="Helvetica"/>
            <w:color w:val="auto"/>
            <w:sz w:val="22"/>
            <w:szCs w:val="22"/>
          </w:rPr>
          <w:t>www.inps.it</w:t>
        </w:r>
      </w:hyperlink>
      <w:r w:rsidRPr="0084312D">
        <w:rPr>
          <w:rFonts w:ascii="Bookman Old Style" w:hAnsi="Bookman Old Style" w:cs="Helvetica"/>
          <w:sz w:val="22"/>
          <w:szCs w:val="22"/>
        </w:rPr>
        <w:t>, alla voce Servizi per aziende e consulenti&gt;Servizi Sport e spettacolo&gt;Richiesta agibilità.</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Ecco come è stato modificato il nuovo articolo 6 riguardo la richiesta del certificato di agibilità per le imprese dello spettacolo.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Comma 1097</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L’articolo 6 del decreto legislativo del Capo provvisorio dello Stato 16 luglio 1947, n. 708, ratificato, con modificazioni, dalla legge 29 novembre 1952, n. 2388, e’ sostituito dal seguente: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«Art. 6. – 1. Per le imprese dell’esercizio teatrale, cinematografico e circense, i teatri tenda, gli enti, le associazioni, le imprese del pubblico esercizio, gli alberghi, le emittenti radiotelevisive e gli impianti sportivi, l’obbligo della richiesta del certificato di agibilita’ di cui all’articolo 10 non sussiste nei confronti dei lavoratori dello spettacolo appartenenti alle categorie indicate dal numero 1) al numero 14) del primo comma dell’articolo 3 con contratto di lavoro subordinato qualora utilizzati nei locali di proprieta’ o di cui abbiano un diritto personale di godimento per i quali le medesime imprese effettuano regolari versamenti contributivi presso l’INPS. Le medesime imprese hanno l’obbligo di chiedere il rilascio del certificato di agibilita’ di cui all’articolo 10, per i lavoratori autonomi dello spettacolo appartenenti alle categorie indicate dal numero 1) al numero 14) del primo comma dell’articolo 3 con contratto di prestazione d’opera di durata superiore a trenta giorni e contrattualizzati per specifici eventi, di durata limitata nell’arco di tempo della complessiva programmazione dell’impresa, singolari e non ripetuti rispetto alle stagioni o cicli produttivi. In alternativa il certificato di agibilita’ potra’ essere richiesto dai lavoratori di cui al numero 23-bis) del primo comma dell’articolo 3, salvo l’obbligo di custodia dello stesso che e’ posto a carico del committente. L’obbligo della richiesta del certificato di agibilita’ ricorre per le imprese dell’esercizio teatrale, cinematografico e circense, per i teatri tenda, gli enti, le associazioni, le imprese del pubblico esercizio, gli alberghi, le emittenti radiotelevisive e per gli impianti sportivi ogni qualvolta sia resa una prestazione da parte dei lavoratori autonomi dello spettacolo appartenenti alle categorie indicate dal numero 1) al numero 14) del primo comma dell’articolo 3 nei locali di proprieta’ o di cui abbiano un diritto personale di godimento le imprese committenti.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2. In caso di inosservanza delle disposizioni di cui al comma 1 le imprese sono soggette alla sanzione amministrativa di euro 129 per ogni lavoratore e per ogni giornata di lavoro da ciascuno prestata ».</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xml:space="preserve">(Legge di Bilancio 2018) </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u w:val="single"/>
        </w:rPr>
      </w:pPr>
      <w:r w:rsidRPr="0084312D">
        <w:rPr>
          <w:rFonts w:ascii="Bookman Old Style" w:hAnsi="Bookman Old Style" w:cs="Helvetica"/>
          <w:bCs/>
          <w:sz w:val="22"/>
          <w:szCs w:val="22"/>
          <w:u w:val="single"/>
        </w:rPr>
        <w:t>Determinazione delle retribuzioni convenzionali 2018 per i lavoratori all’estero: decreto in G.U.</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Il Decreto 20 dicembre 2017 è stato pubblicato sulla </w:t>
      </w:r>
      <w:r w:rsidRPr="0084312D">
        <w:rPr>
          <w:rFonts w:ascii="Bookman Old Style" w:hAnsi="Bookman Old Style" w:cs="Helvetica"/>
          <w:b/>
          <w:bCs/>
          <w:sz w:val="22"/>
          <w:szCs w:val="22"/>
        </w:rPr>
        <w:t>Gazzetta Ufficiale</w:t>
      </w:r>
      <w:r w:rsidRPr="0084312D">
        <w:rPr>
          <w:rFonts w:ascii="Bookman Old Style" w:hAnsi="Bookman Old Style" w:cs="Helvetica"/>
          <w:sz w:val="22"/>
          <w:szCs w:val="22"/>
        </w:rPr>
        <w:t> n. 14 del 18 gennaio 2018.</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Seguito i relativi contenuti.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Retribuzioni convenzionali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A decorrere dal periodo di paga in corso dal 1° gennaio 2018 e fino a tutto il periodo di paga in corso al 31 dicembre 2018, le retribuzioni convenzionali da prendere a base per il calcolo dei contributi dovuti per le assicurazioni obbligatorie dei lavoratori italiani operanti all’estero ai sensi del decreto-legge 31 luglio 1987, n. 317, convertito, con modificazioni, dalla legge 3 ottobre 1987, n. 398, nonche’ per il calcolo delle imposte sul reddito da lavoro dipendente, ai sensi dell’art. 51, comma 8-bis, del testo unico delle imposte sui redditi, approvato con decreto del Presidente della Repubblica 22 dicembre 1986, n. 917, sono stabilite nella misura risultante, per ciascun settore, dalle unite tabelle, che costituiscono parte integrante del presente decreto.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Fasce di retribuzione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Per i lavoratori per i quali sono previste fasce di retribuzione, la retribuzione convenzionale imponibile e’ determinata sulla base del raffronto con la fascia di retribuzione nazionale corrispondente, di cui alle tabelle citate all’art. 1.</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Frazionabilita’ delle retribuzioni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 valori convenzionali individuati nelle tabelle, in caso di assunzioni, risoluzioni del rapporto di lavoro, trasferimenti da o per l’estero, nel corso del mese, sono divisibili in ragione di ventisei giornate.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Trattamento di disoccupazione per i lavoratori rimpatriati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Sulle retribuzioni convenzionali di cui all’art. 1 va liquidato il trattamento ordinario di disoccupazione in favore dei lavoratori italiani rimpatriati.</w:t>
      </w:r>
    </w:p>
    <w:p w:rsidR="006649DC" w:rsidRPr="0084312D" w:rsidRDefault="006649DC" w:rsidP="00BD0F30">
      <w:pPr>
        <w:pStyle w:val="western"/>
        <w:shd w:val="clear" w:color="auto" w:fill="FFFFFF"/>
        <w:spacing w:before="0" w:beforeAutospacing="0" w:after="0" w:afterAutospacing="0"/>
        <w:rPr>
          <w:rFonts w:ascii="Bookman Old Style" w:hAnsi="Bookman Old Style" w:cs="Helvetica"/>
          <w:sz w:val="22"/>
          <w:szCs w:val="22"/>
        </w:rPr>
      </w:pPr>
      <w:r w:rsidRPr="0084312D">
        <w:rPr>
          <w:rFonts w:ascii="Bookman Old Style" w:hAnsi="Bookman Old Style" w:cs="Helvetica"/>
          <w:sz w:val="22"/>
          <w:szCs w:val="22"/>
        </w:rPr>
        <w:t>(Decreto 20 dicembre 2017, in </w:t>
      </w:r>
      <w:r w:rsidRPr="0084312D">
        <w:rPr>
          <w:rFonts w:ascii="Bookman Old Style" w:hAnsi="Bookman Old Style" w:cs="Helvetica"/>
          <w:bCs/>
          <w:sz w:val="22"/>
          <w:szCs w:val="22"/>
        </w:rPr>
        <w:t>Gazzetta Ufficiale</w:t>
      </w:r>
      <w:r w:rsidRPr="0084312D">
        <w:rPr>
          <w:rFonts w:ascii="Bookman Old Style" w:hAnsi="Bookman Old Style" w:cs="Helvetica"/>
          <w:sz w:val="22"/>
          <w:szCs w:val="22"/>
        </w:rPr>
        <w:t> n. 14 del 18 gennaio 2018)</w:t>
      </w:r>
    </w:p>
    <w:p w:rsidR="006649DC" w:rsidRPr="0084312D" w:rsidRDefault="006649DC" w:rsidP="00BD0F30">
      <w:pPr>
        <w:pStyle w:val="western"/>
        <w:shd w:val="clear" w:color="auto" w:fill="FFFFFF"/>
        <w:spacing w:before="0" w:beforeAutospacing="0" w:after="0" w:afterAutospacing="0"/>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u w:val="single"/>
        </w:rPr>
      </w:pPr>
      <w:r w:rsidRPr="0084312D">
        <w:rPr>
          <w:rFonts w:ascii="Bookman Old Style" w:hAnsi="Bookman Old Style" w:cs="Helvetica"/>
          <w:bCs/>
          <w:sz w:val="22"/>
          <w:szCs w:val="22"/>
          <w:u w:val="single"/>
        </w:rPr>
        <w:t>Bonus pubblicità 2018 on line anche per enti non commerciali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Il </w:t>
      </w:r>
      <w:hyperlink r:id="rId11" w:tgtFrame="_blank" w:history="1">
        <w:r w:rsidRPr="0084312D">
          <w:rPr>
            <w:rStyle w:val="Hyperlink"/>
            <w:rFonts w:ascii="Bookman Old Style" w:hAnsi="Bookman Old Style" w:cs="Helvetica"/>
            <w:color w:val="auto"/>
            <w:sz w:val="22"/>
            <w:szCs w:val="22"/>
          </w:rPr>
          <w:t>D.L. n. 50/2017 (cd. manovra correttiva)</w:t>
        </w:r>
      </w:hyperlink>
      <w:r w:rsidRPr="0084312D">
        <w:rPr>
          <w:rFonts w:ascii="Bookman Old Style" w:hAnsi="Bookman Old Style" w:cs="Helvetica"/>
          <w:sz w:val="22"/>
          <w:szCs w:val="22"/>
        </w:rPr>
        <w:t> ha introdotto l’agevolazione fiscale, sotto forma di credito d’imposta, a favore di imprese e professionisti per campagne pubblicitarie effettuate su quotidiani, periodici, emittenti televisive e radiofoniche. La misura è stata poi, in parte, integrata dal Collegato fiscale D.L. n. 172/2017, in vigore dal 6 dicembre 2017.</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Viene, così, modificaro parzialmente sia l’ambito oggettivo sia il perimento soggettivo di applicazione dell’agevolazione.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In particolare, il bonus è stato esteso anche: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Agli enti non commerciali;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Alle campagne pubblicitarie effettuate on-line.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Vengono anche definiti i paletti di spesa per il 2018:</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12,5 mln di euro destinati agli investimenti sulle emittenti radio-televisive locali;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50 mln di euro riservati agli investimenti sulla stampa, anche on-line, di cui 20 per gli investimenti incrementali effettuati dal 24 giugno al 31 dicembre 2017, e 30 per gli investimenti da effettuare nel 2018.</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Ecco di seguito le principali caratteristiche dell’agevolazione.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Ambito soggettivo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Possono accedere al bonus:</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i titolari di reddito di impresa, indipendente dalla forma giuridica, dal settore economico di appartenenza e dal regime contabile adottato;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gli esercenti arti e professioni;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gli enti non commerciali.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Spese agevolabili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Le spese agevolabili sono quelle riguardanti investimenti in campagne pubblicitarie su quotidiani e periodici, anche on line, emittenti TV e radio locali effettuati a partire dal 24 giugno 2017.</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Non sono agevolabili gli investimenti che hanno per oggetto televendite, servizi di pronostici, e cosi via.</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Agevolazioni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Il credito d’imposta è pari al 75%, aumentato al 90% nel caso di micro, piccole e medie imprese e start up innovative, del valore incrementale degli investimenti effettuati sui mezzi pubblicitari sopraindicati, a condizione che tale incremento sia almeno pari all’1%.</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Il credito d’imposta liquidato potrà tuttavia essere inferiore a quello richiesto, qualora l’ammontare totale delle richieste superi quello delle risorse stanziate.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Per il primo periodo di applicazione dell’agevolazione, ossia dal 24 giugno al 31 dicembre 2017, gli investimenti premiati sono solo quelli effettuati sulla stampa, inclusa la versione on line per effetto delle novità apportate dal D.L. 148/2017.</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Ai fini del computo dell’agevolazione, si applicano i criteri di cui all’art. 109 del Tuir; l’effettività della spesa deve poi risultare da un’apposita attestazione rilasciata dai soggetti titolati al rilascio del visto di conformità, oppure da un revisore legale dei conti.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Qualora il credito d’imposta sia superiore a 150.000 Euro, per fruire dello stesso occorre che l’impresa richiedente abbia esperito l’accertamento preventivo di regolarità presso la Banca dati nazionale antimafia del Ministero dell’Interno.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Il credito d’imposta, nella forma di contributo in conto esercizio, sarà rilevato in bilancio adottando la stessa modalità di rilevazione contabile per competenza adottata per la spesa a cui afferisce.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Modalità di utilizzo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Il credito d’imposta non è cumulabile con altre agevolazioni nazionali o comunitarie aventi per oggetto la medesima spesa; esso è poi utilizzabile in compensazione tramite modello F24, ai sensi dell’art. 17 del D.Lgs. n. 241/1997, presentando apposita comunicazione telematica su piattaforma delle entrate.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w:t>
      </w:r>
      <w:hyperlink r:id="rId12" w:tgtFrame="_blank" w:history="1">
        <w:r w:rsidRPr="0084312D">
          <w:rPr>
            <w:rStyle w:val="Hyperlink"/>
            <w:rFonts w:ascii="Bookman Old Style" w:hAnsi="Bookman Old Style" w:cs="Helvetica"/>
            <w:color w:val="auto"/>
            <w:sz w:val="22"/>
            <w:szCs w:val="22"/>
          </w:rPr>
          <w:t xml:space="preserve">D.L. n. 50/2017 </w:t>
        </w:r>
      </w:hyperlink>
      <w:r w:rsidRPr="0084312D">
        <w:rPr>
          <w:rFonts w:ascii="Bookman Old Style" w:hAnsi="Bookman Old Style" w:cs="Helvetica"/>
          <w:sz w:val="22"/>
          <w:szCs w:val="22"/>
        </w:rPr>
        <w:t>)</w:t>
      </w:r>
    </w:p>
    <w:p w:rsidR="006649DC" w:rsidRDefault="006649DC" w:rsidP="006E7FF2">
      <w:pPr>
        <w:pStyle w:val="NormalWeb"/>
        <w:shd w:val="clear" w:color="auto" w:fill="FFFFFF"/>
        <w:spacing w:before="0" w:beforeAutospacing="0" w:after="0" w:afterAutospacing="0"/>
        <w:jc w:val="both"/>
        <w:rPr>
          <w:rFonts w:ascii="Bookman Old Style" w:hAnsi="Bookman Old Style"/>
          <w:sz w:val="28"/>
          <w:szCs w:val="28"/>
        </w:rPr>
      </w:pPr>
    </w:p>
    <w:p w:rsidR="006649DC" w:rsidRDefault="006649DC" w:rsidP="006E7FF2">
      <w:pPr>
        <w:pStyle w:val="NormalWeb"/>
        <w:shd w:val="clear" w:color="auto" w:fill="FFFFFF"/>
        <w:spacing w:before="0" w:beforeAutospacing="0" w:after="0" w:afterAutospacing="0"/>
        <w:jc w:val="both"/>
        <w:rPr>
          <w:rFonts w:ascii="Bookman Old Style" w:hAnsi="Bookman Old Style"/>
          <w:sz w:val="28"/>
          <w:szCs w:val="28"/>
        </w:rPr>
      </w:pPr>
    </w:p>
    <w:p w:rsidR="006649DC" w:rsidRDefault="006649DC" w:rsidP="006E7FF2">
      <w:pPr>
        <w:pStyle w:val="NormalWeb"/>
        <w:shd w:val="clear" w:color="auto" w:fill="FFFFFF"/>
        <w:spacing w:before="0" w:beforeAutospacing="0" w:after="0" w:afterAutospacing="0"/>
        <w:jc w:val="both"/>
        <w:rPr>
          <w:rFonts w:ascii="Bookman Old Style" w:hAnsi="Bookman Old Style"/>
          <w:sz w:val="28"/>
          <w:szCs w:val="28"/>
        </w:rPr>
      </w:pPr>
    </w:p>
    <w:p w:rsidR="006649DC" w:rsidRDefault="006649DC" w:rsidP="006E7FF2">
      <w:pPr>
        <w:pStyle w:val="NormalWeb"/>
        <w:shd w:val="clear" w:color="auto" w:fill="FFFFFF"/>
        <w:spacing w:before="0" w:beforeAutospacing="0" w:after="0" w:afterAutospacing="0"/>
        <w:jc w:val="both"/>
        <w:rPr>
          <w:rFonts w:ascii="Bookman Old Style" w:hAnsi="Bookman Old Style"/>
          <w:sz w:val="28"/>
          <w:szCs w:val="28"/>
        </w:rPr>
      </w:pPr>
    </w:p>
    <w:p w:rsidR="006649DC" w:rsidRDefault="006649DC" w:rsidP="006E7FF2">
      <w:pPr>
        <w:pStyle w:val="NormalWeb"/>
        <w:shd w:val="clear" w:color="auto" w:fill="FFFFFF"/>
        <w:spacing w:before="0" w:beforeAutospacing="0" w:after="0" w:afterAutospacing="0"/>
        <w:jc w:val="both"/>
        <w:rPr>
          <w:rFonts w:ascii="Bookman Old Style" w:hAnsi="Bookman Old Style"/>
          <w:sz w:val="28"/>
          <w:szCs w:val="28"/>
        </w:rPr>
      </w:pPr>
    </w:p>
    <w:p w:rsidR="006649DC" w:rsidRPr="003E6D45" w:rsidRDefault="006649DC" w:rsidP="006E7FF2">
      <w:pPr>
        <w:pStyle w:val="Heading2"/>
        <w:pBdr>
          <w:bottom w:val="single" w:sz="4" w:space="1" w:color="auto"/>
        </w:pBdr>
        <w:spacing w:before="0" w:after="0" w:line="240" w:lineRule="exact"/>
        <w:jc w:val="both"/>
        <w:rPr>
          <w:rFonts w:ascii="Bookman Old Style" w:hAnsi="Bookman Old Style"/>
          <w:sz w:val="28"/>
          <w:szCs w:val="28"/>
        </w:rPr>
      </w:pPr>
      <w:bookmarkStart w:id="113" w:name="_Toc506559956"/>
      <w:r>
        <w:rPr>
          <w:rFonts w:ascii="Bookman Old Style" w:hAnsi="Bookman Old Style"/>
          <w:sz w:val="28"/>
          <w:szCs w:val="28"/>
        </w:rPr>
        <w:t>P</w:t>
      </w:r>
      <w:r w:rsidRPr="003E6D45">
        <w:rPr>
          <w:rFonts w:ascii="Bookman Old Style" w:hAnsi="Bookman Old Style"/>
          <w:sz w:val="28"/>
          <w:szCs w:val="28"/>
        </w:rPr>
        <w:t>RASSI</w:t>
      </w:r>
      <w:bookmarkEnd w:id="106"/>
      <w:bookmarkEnd w:id="107"/>
      <w:bookmarkEnd w:id="108"/>
      <w:bookmarkEnd w:id="109"/>
      <w:bookmarkEnd w:id="110"/>
      <w:bookmarkEnd w:id="111"/>
      <w:bookmarkEnd w:id="112"/>
      <w:bookmarkEnd w:id="113"/>
    </w:p>
    <w:p w:rsidR="006649DC" w:rsidRDefault="006649DC" w:rsidP="009731FD">
      <w:pPr>
        <w:pStyle w:val="Heading3"/>
        <w:rPr>
          <w:b/>
          <w:sz w:val="28"/>
          <w:szCs w:val="28"/>
          <w:u w:val="none"/>
        </w:rPr>
      </w:pPr>
      <w:bookmarkStart w:id="114" w:name="_Toc448485277"/>
      <w:bookmarkStart w:id="115" w:name="_Toc448485401"/>
      <w:bookmarkStart w:id="116" w:name="_Toc448485540"/>
      <w:bookmarkStart w:id="117" w:name="_Toc448485668"/>
      <w:bookmarkStart w:id="118" w:name="_Toc448485792"/>
      <w:bookmarkStart w:id="119" w:name="_Toc448485895"/>
      <w:bookmarkStart w:id="120" w:name="_Toc448494598"/>
      <w:bookmarkStart w:id="121" w:name="_Toc448485278"/>
      <w:bookmarkStart w:id="122" w:name="_Toc448485402"/>
      <w:bookmarkStart w:id="123" w:name="_Toc448485541"/>
      <w:bookmarkStart w:id="124" w:name="_Toc448485669"/>
      <w:bookmarkStart w:id="125" w:name="_Toc448485793"/>
      <w:bookmarkStart w:id="126" w:name="_Toc448485896"/>
      <w:bookmarkStart w:id="127" w:name="_Toc448494599"/>
    </w:p>
    <w:p w:rsidR="006649DC" w:rsidRDefault="006649DC" w:rsidP="009731FD">
      <w:pPr>
        <w:pStyle w:val="Heading3"/>
        <w:rPr>
          <w:b/>
          <w:sz w:val="28"/>
          <w:szCs w:val="28"/>
          <w:u w:val="none"/>
        </w:rPr>
      </w:pPr>
      <w:bookmarkStart w:id="128" w:name="_Toc506559957"/>
      <w:r w:rsidRPr="008C3A57">
        <w:rPr>
          <w:b/>
          <w:sz w:val="28"/>
          <w:szCs w:val="28"/>
          <w:u w:val="none"/>
        </w:rPr>
        <w:t>IVA</w:t>
      </w:r>
      <w:bookmarkEnd w:id="114"/>
      <w:bookmarkEnd w:id="115"/>
      <w:bookmarkEnd w:id="116"/>
      <w:bookmarkEnd w:id="117"/>
      <w:bookmarkEnd w:id="118"/>
      <w:bookmarkEnd w:id="119"/>
      <w:bookmarkEnd w:id="120"/>
      <w:bookmarkEnd w:id="128"/>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u w:val="single"/>
        </w:rPr>
      </w:pPr>
      <w:bookmarkStart w:id="129" w:name="_Toc469935669"/>
      <w:r w:rsidRPr="0084312D">
        <w:rPr>
          <w:rFonts w:ascii="Bookman Old Style" w:hAnsi="Bookman Old Style" w:cs="Helvetica"/>
          <w:bCs/>
          <w:sz w:val="22"/>
          <w:szCs w:val="22"/>
          <w:u w:val="single"/>
        </w:rPr>
        <w:t>Nuovi termini per la detrazione Iva: aspetti operativi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L’Agenzia delle Entrate, con la recente </w:t>
      </w:r>
      <w:hyperlink r:id="rId13" w:tgtFrame="_blank" w:history="1">
        <w:r w:rsidRPr="0084312D">
          <w:rPr>
            <w:rStyle w:val="Hyperlink"/>
            <w:rFonts w:ascii="Bookman Old Style" w:hAnsi="Bookman Old Style" w:cs="Helvetica"/>
            <w:color w:val="auto"/>
            <w:sz w:val="22"/>
            <w:szCs w:val="22"/>
          </w:rPr>
          <w:t>circolare n. 1/E/2018</w:t>
        </w:r>
      </w:hyperlink>
      <w:r w:rsidRPr="0084312D">
        <w:rPr>
          <w:rFonts w:ascii="Bookman Old Style" w:hAnsi="Bookman Old Style" w:cs="Helvetica"/>
          <w:sz w:val="22"/>
          <w:szCs w:val="22"/>
        </w:rPr>
        <w:t>, ha finalmente sciolto alcuni dubbi operativi sorti a seguito delle modifiche, ad opera del D.L. 50/2017, dei termini previsti per l’esercizio del diritto alla detrazione Iva e alla registrazione delle fatture di acquisto e bolle doganali.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Il nuovo art.19, comma 1 del D.p.r. 633/72, prevede dei termini più brevi per poter esercitare il diritto alla detrazione dell’imposta: consentendola, al più tardi, con la dichiarazione Iva relativa all’anno in cui il diritto alla detrazione è sorto ed in base alle condizioni esistenti al momento della nascita del medesimo (ad es. percentuale di pro rata).</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 nuovi termini di annotazione delle fatture di acquisto, prevedono, invece, che le stesse debbano essere registrate, anteriormente alla liquidazione periodica nella quale è esercitato il </w:t>
      </w:r>
      <w:r w:rsidRPr="0084312D">
        <w:rPr>
          <w:rFonts w:ascii="Bookman Old Style" w:hAnsi="Bookman Old Style" w:cs="Helvetica"/>
          <w:b/>
          <w:bCs/>
          <w:sz w:val="22"/>
          <w:szCs w:val="22"/>
        </w:rPr>
        <w:t>diritto alla detrazione </w:t>
      </w:r>
      <w:r w:rsidRPr="0084312D">
        <w:rPr>
          <w:rFonts w:ascii="Bookman Old Style" w:hAnsi="Bookman Old Style" w:cs="Helvetica"/>
          <w:sz w:val="22"/>
          <w:szCs w:val="22"/>
        </w:rPr>
        <w:t>e comunque entro il termine di presentazione della dichiarazione annuale relativa all’anno di </w:t>
      </w:r>
      <w:r w:rsidRPr="0084312D">
        <w:rPr>
          <w:rFonts w:ascii="Bookman Old Style" w:hAnsi="Bookman Old Style" w:cs="Helvetica"/>
          <w:b/>
          <w:bCs/>
          <w:sz w:val="22"/>
          <w:szCs w:val="22"/>
        </w:rPr>
        <w:t>ricezione della fattura </w:t>
      </w:r>
      <w:r w:rsidRPr="0084312D">
        <w:rPr>
          <w:rFonts w:ascii="Bookman Old Style" w:hAnsi="Bookman Old Style" w:cs="Helvetica"/>
          <w:sz w:val="22"/>
          <w:szCs w:val="22"/>
        </w:rPr>
        <w:t>e con riferimento al medesimo anno.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L’Agenzia delle Entrate per dare un coordinamento ai novellati articoli 19 e 25 del D.p.r. 633/72, si appella ai principi espressi dalla Corte di Giustizia Europea, che subordinano la detrazione dell’Iva, non soltanto al requisito sostanziale dell’esigibilità dell’imposta, ma anche a quello formale del possesso della fattura di acquisto.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L’Ade, con la circolare pubblicata, fornisce chiarimenti operativi, stabilendo che il momento dal quale decorre il termine per l’esercizio della detrazione, si realizza al verificarsi della duplice </w:t>
      </w:r>
      <w:r w:rsidRPr="0084312D">
        <w:rPr>
          <w:rFonts w:ascii="Bookman Old Style" w:hAnsi="Bookman Old Style" w:cs="Helvetica"/>
          <w:bCs/>
          <w:sz w:val="22"/>
          <w:szCs w:val="22"/>
        </w:rPr>
        <w:t>condizione sostanziale dell’avvenuta esigibilità dell’imposta e formale del ricevimento di una valida fattura</w:t>
      </w:r>
      <w:r w:rsidRPr="0084312D">
        <w:rPr>
          <w:rFonts w:ascii="Bookman Old Style" w:hAnsi="Bookman Old Style" w:cs="Helvetica"/>
          <w:sz w:val="22"/>
          <w:szCs w:val="22"/>
        </w:rPr>
        <w:t>, conforme alle disposizioni dell’art. 21 del Dpr 633/72; da tale momento il soggetto passivo, </w:t>
      </w:r>
      <w:r w:rsidRPr="0084312D">
        <w:rPr>
          <w:rFonts w:ascii="Bookman Old Style" w:hAnsi="Bookman Old Style" w:cs="Helvetica"/>
          <w:bCs/>
          <w:sz w:val="22"/>
          <w:szCs w:val="22"/>
        </w:rPr>
        <w:t>previa registrazione della fattura</w:t>
      </w:r>
      <w:r w:rsidRPr="0084312D">
        <w:rPr>
          <w:rFonts w:ascii="Bookman Old Style" w:hAnsi="Bookman Old Style" w:cs="Helvetica"/>
          <w:sz w:val="22"/>
          <w:szCs w:val="22"/>
        </w:rPr>
        <w:t>, può operare la detrazione dell’imposta ed esercitare, tale diritto, al più tardi, entro la data di presentazione della dichiarazione relativa </w:t>
      </w:r>
      <w:r w:rsidRPr="0084312D">
        <w:rPr>
          <w:rFonts w:ascii="Bookman Old Style" w:hAnsi="Bookman Old Style" w:cs="Helvetica"/>
          <w:bCs/>
          <w:sz w:val="22"/>
          <w:szCs w:val="22"/>
        </w:rPr>
        <w:t>all’anno in cui si sono verificati entrambi i presupposti </w:t>
      </w:r>
      <w:r w:rsidRPr="0084312D">
        <w:rPr>
          <w:rFonts w:ascii="Bookman Old Style" w:hAnsi="Bookman Old Style" w:cs="Helvetica"/>
          <w:sz w:val="22"/>
          <w:szCs w:val="22"/>
        </w:rPr>
        <w:t>e con riferimento al medesimo anno.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Il diritto alla detrazione potrà, dunque, essere esercitato: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nell’ anno in cui il soggetto passivo, venuto in possesso della fattura, la annota in contabilità e la fa confluire nella liquidazione periodica relativa al mese o trimestre di competenza;</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-oppure al più tardi entro il termine di presentazione della dichiarazione Iva relativa all’anno in cui il documento è stato ricevuto.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Esempi con soggetto passivo con liquidazioni Iva mensili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fattura di acquisto ricevuta a dicembre 2017, relativa a beni consegnati sempre a dicembre 2017; la fattura può essere registrata nel 2017, confluendo nelle liquidazioni iva del mese di dicembre da eseguire entro il 16 gennaio 2018, oppure essere annotata, al più tardi, entro il 30 aprile 2018, in apposito sezionale del registro Iva acquisti relativo alle fatture ricevute nel 2017 (in modo che confluisca nella determinazione del saldo Iva annuale del 2017);</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fattura di acquisto ricevuta nel 2018, relativa a beni consegnati nel 2017; la fattura può essere registrata nel 2018, confluendo nelle liquidazioni iva del mese o trimestre di riferimento, oppure essere annotata, al più tardi, entro il 30 aprile 2019, in apposito sezionale del registro Iva acquisti relativo alle fatture ricevute nel 2018 (in modo che confluisca nella determinazione del risultato dell’Iva annuale del 2018).</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Decorrenza delle nuove disposizioni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 nuovi termini si applicano alle fatture e bolle doganali emesse dal 1° gennaio 2017.</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L’Agenzia delle Entrate ha precisato che poiché i chiarimenti sono intervenuti in data successiva al 16 gennaio 2018, non saranno sanzionati i comportamenti adottati nell’ambito della liquidazione periodica del mese di dicembre 2017, difformi alle precisazioni fornite con la circolare 1/E: non saranno, quindi, sanzionati coloro i quali hanno computato nella liquidazione di dicembre 2017, l’Iva relativa a fatture ricevute entro il 16 gennaio 2018, riferite ad operazioni con Iva esigibile nel 2017.</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Per l’Iva relativa alle fatture 2015 e 2016, non ancora detratta, si può continuare ad applicare la normativa precedente.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Note di variazione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Per quanto attiene le note di variazione in diminuzione, esse devono essere emesse al più tardi entro il termine per la presentazione della dichiarazione Iva relativa all’anno in cui si è verificato il presupposto per operare la variazione in diminuzione. Entro la stessa data può essere detratta la maggiore imposta versata.</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Dichiarazione integrativa</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Nel caso in cui il cessionario/committente non abbia detratto l’Iva a credito entro i predetti termini, può recuperare l’imposta presentando una dichiarazione integrativa a favore entro il 31 dicembre del quinto anno successivo a quello di presentazione della dichiarazione.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(Agenzia delle Entrate, </w:t>
      </w:r>
      <w:hyperlink r:id="rId14" w:tgtFrame="_blank" w:history="1">
        <w:r w:rsidRPr="0084312D">
          <w:rPr>
            <w:rStyle w:val="Hyperlink"/>
            <w:rFonts w:ascii="Bookman Old Style" w:hAnsi="Bookman Old Style" w:cs="Helvetica"/>
            <w:color w:val="auto"/>
            <w:sz w:val="22"/>
            <w:szCs w:val="22"/>
          </w:rPr>
          <w:t>circolare n. 1/E/2018</w:t>
        </w:r>
      </w:hyperlink>
      <w:r w:rsidRPr="0084312D">
        <w:rPr>
          <w:rFonts w:ascii="Bookman Old Style" w:hAnsi="Bookman Old Style" w:cs="Helvetica"/>
          <w:sz w:val="22"/>
          <w:szCs w:val="22"/>
        </w:rPr>
        <w:t>)</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u w:val="single"/>
        </w:rPr>
      </w:pPr>
      <w:r w:rsidRPr="0084312D">
        <w:rPr>
          <w:rFonts w:ascii="Bookman Old Style" w:hAnsi="Bookman Old Style" w:cs="Helvetica"/>
          <w:bCs/>
          <w:sz w:val="22"/>
          <w:szCs w:val="22"/>
          <w:u w:val="single"/>
        </w:rPr>
        <w:t>Deposito Iva: garanzia dovuta una sola volta</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Nel caso in cui il soggetto che procede all’estrazione dei beni dal Deposito IVA coincida con quello che ha effettuato l’immissione in libera pratica con introduzione dei beni nello stesso deposito, non è dovuta la garanzia prevista dall’art. 50-bis, co. 6, D.L. n. 331/1993 poiché già assolta inizialmente.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Lo ha precisato </w:t>
      </w:r>
      <w:r w:rsidRPr="0084312D">
        <w:rPr>
          <w:rFonts w:ascii="Bookman Old Style" w:hAnsi="Bookman Old Style" w:cs="Helvetica"/>
          <w:bCs/>
          <w:sz w:val="22"/>
          <w:szCs w:val="22"/>
        </w:rPr>
        <w:t>l’Agenzia delle entrate</w:t>
      </w:r>
      <w:r w:rsidRPr="0084312D">
        <w:rPr>
          <w:rFonts w:ascii="Bookman Old Style" w:hAnsi="Bookman Old Style" w:cs="Helvetica"/>
          <w:sz w:val="22"/>
          <w:szCs w:val="22"/>
        </w:rPr>
        <w:t> con la </w:t>
      </w:r>
      <w:hyperlink r:id="rId15" w:tgtFrame="_blank" w:history="1">
        <w:r w:rsidRPr="0084312D">
          <w:rPr>
            <w:rStyle w:val="Hyperlink"/>
            <w:rFonts w:ascii="Bookman Old Style" w:hAnsi="Bookman Old Style" w:cs="Helvetica"/>
            <w:bCs/>
            <w:color w:val="auto"/>
            <w:sz w:val="22"/>
            <w:szCs w:val="22"/>
          </w:rPr>
          <w:t>risoluzione n. 5/E del 16 gennaio 2018</w:t>
        </w:r>
      </w:hyperlink>
      <w:r w:rsidRPr="0084312D">
        <w:rPr>
          <w:rFonts w:ascii="Bookman Old Style" w:hAnsi="Bookman Old Style" w:cs="Helvetica"/>
          <w:sz w:val="22"/>
          <w:szCs w:val="22"/>
        </w:rPr>
        <w:t>.</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Il documento di prassi risponde all’istanza di interpello presentata dal gestore di un deposito Iva (che, ricordiamo, con la nuova normativa agisce, in determinati casi, in qualità di sostituto d’imposta), che chiede se rientra nelle ipotesi di esenzione dalla prestazione della garanzia prevista dall’articolo 50-bis, comma 6, il caso in cui l’operatore che effettua l’estrazione dei beni coincida con quello che si è occupato dell’immissione in libera pratica nello stesso deposito.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La risoluzione, innanzitutto, ricapitola la “storia” recente della disciplina dei depositi Iva, richiamando, tra l’altro, la risoluzione 55/2017, che ha fornito importanti chiarimenti sulle disposizioni “riformate” in vigore dallo scorso 1° aprile.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Il quesito in esame si riferisce, in particolare, alle novità riguardanti l’estrazione dei beni (momento di esigibilità dell’imposta), sottoposta, ora, a regole diverse in base alla provenienza delle merci. In base alla nuova disciplina, l’imposta è dovuta dal soggetto che procede all’estrazione ed è versata (in suo nome e per suo conto) dal gestore del deposito. Fanno eccezione a questa regola, le ipotesi dei beni introdotti per effetto di un acquisto intracomunitario e quella dei beni immessi in libera pratica.</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Per quanto riguarda i beni immessi in libera pratica (oggetto del quesito formulato con l’istanza di interpello) è previsto che per poter assolvere l’imposta mediante il meccanismo dell’inversione contabile (reverse charge) chi effettua l’estrazione deve prestare garanzia.</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In particolare, secondo quanto previsto dal Dm 23 febbraio 2017, la garanzia deve essere prestata:</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a favore del competente ufficio dell’Agenzia delle entrate, per l’importo corrispondente all’imposta dovuta per la durata di sei mesi dalla data di estrazione;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con le stesse modalità previste per la garanzia relativa ai rimborsi Iva di ammontare superiore a 30mila euro (articolo 38-bis, comma 5, Dpr 633/1972), vale a dire sotto forma di cauzione in titoli di Stato o garantiti dallo Stato, al valore di borsa, ovvero di fideiussione rilasciata da una banca o da un’impresa commerciale che a giudizio dell’Amministrazione finanziaria offra adeguate garanzie di solvibilità ovvero di polizza fideiussoria rilasciata da un’impresa di assicurazione.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Come accade per ogni regola che si rispetti, però, non mancano le eccezioni.</w:t>
      </w:r>
      <w:r w:rsidRPr="0084312D">
        <w:rPr>
          <w:rFonts w:ascii="Bookman Old Style" w:hAnsi="Bookman Old Style" w:cs="Helvetica"/>
          <w:sz w:val="22"/>
          <w:szCs w:val="22"/>
        </w:rPr>
        <w:br/>
        <w:t>Il decreto ministeriale stesso, infatti, elenca, alcuni requisiti di affidabilità che consentono di applicare il reverse charge, al momento dell’estrazione, senza garanzia e i casi in cui tali requisiti si considerano presunti con conseguente esenzione dalla garanzia.</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“In sostanza” spiega l’Agenzia “la prestazione della garanzia, con le modalità di cui all’articolo. 38-bis, comma 5 del DPR n. 633 del 1972, è residuale, in quanto necessaria solo per i soggetti che intendano avvalersi del reverse charge anche se non possiedono i requisiti di affidabilità previsti dall’articolo 2 del DM – i quali peraltro possono essere autocertificati – né rientrano, comunque, nelle ipotesi del successivo articolo 4”.</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Inoltre, in base all’articolo 4, comma 1, della norma, i requisiti sono considerati “sussistenti” quando: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il soggetto che estrae i beni coincide con quello che ha effettuato l’immissione in libera pratica con introduzione dei beni nel deposito Iva;</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l’operatore che estrae i beni è un soggetto autorizzato ai sensi degli articoli 38 e seguenti del regolamento (Ue) n.952/2013 del Parlamento europeo e del Consiglio del 9 ottobre 2013 o è esonerato in base articolo 90 del Dpr 43/1973.</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La situazione descritta nell’interpello corrisponde alla prima eventualità. Di conseguenza, il soggetto che estrae, nell’ipotesi prospettata, può applicare il reverse charge senza dover prestare la garanzia “in uscita”.</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Del resto, sottolinea la risoluzione, in questa ipotesi chi estrae i beni dal deposito, essendo lo stesso soggetto che ha effettuato l’introduzione, ha già prestato garanzia “in entrata” (in base a quanto stabilito dall’articolo 50-bis, comma 4, lettera b).</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Rimangono valide, comunque, le modalità procedurali per lo svincolo della garanzia (commisurata all’imposta) relativa alle operazioni di immissione in libera pratica di beni non comunitari destinati a essere introdotti in un deposito Iva. La risoluzione precisa, infatti, che non bisogna confondere la garanzia per l’immissione in libera pratica delle merci destinate a essere introdotte nei depositi Iva da quella prevista per l’estrazione degli stessi beni, tra loro indipendenti e caratterizzate da regole, modalità e tempi ben distinti, e per di più, generalmente, relative a operazioni effettuate da soggetti diversi.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Per ultimo, la risoluzione afferma che nei casi specifici di immissione in libera pratica, esonerati in “entrata” dalla garanzia (previsti, in via generale, da disposizioni doganali), l’agevolazione trova applicazione anche al momento dell’”uscita”.</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w:t>
      </w:r>
      <w:r w:rsidRPr="0084312D">
        <w:rPr>
          <w:rFonts w:ascii="Bookman Old Style" w:hAnsi="Bookman Old Style" w:cs="Helvetica"/>
          <w:bCs/>
          <w:sz w:val="22"/>
          <w:szCs w:val="22"/>
        </w:rPr>
        <w:t>Agenzia delle entrate</w:t>
      </w:r>
      <w:r w:rsidRPr="0084312D">
        <w:rPr>
          <w:rFonts w:ascii="Bookman Old Style" w:hAnsi="Bookman Old Style" w:cs="Helvetica"/>
          <w:sz w:val="22"/>
          <w:szCs w:val="22"/>
        </w:rPr>
        <w:t> con la </w:t>
      </w:r>
      <w:hyperlink r:id="rId16" w:tgtFrame="_blank" w:history="1">
        <w:r w:rsidRPr="0084312D">
          <w:rPr>
            <w:rStyle w:val="Hyperlink"/>
            <w:rFonts w:ascii="Bookman Old Style" w:hAnsi="Bookman Old Style" w:cs="Helvetica"/>
            <w:bCs/>
            <w:color w:val="auto"/>
            <w:sz w:val="22"/>
            <w:szCs w:val="22"/>
          </w:rPr>
          <w:t>risoluzione n. 5/E del 16 gennaio 2018</w:t>
        </w:r>
      </w:hyperlink>
      <w:r w:rsidRPr="0084312D">
        <w:rPr>
          <w:rFonts w:ascii="Bookman Old Style" w:hAnsi="Bookman Old Style" w:cs="Helvetica"/>
          <w:sz w:val="22"/>
          <w:szCs w:val="22"/>
        </w:rPr>
        <w:t>)</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u w:val="single"/>
        </w:rPr>
      </w:pPr>
      <w:r w:rsidRPr="0084312D">
        <w:rPr>
          <w:rFonts w:ascii="Bookman Old Style" w:hAnsi="Bookman Old Style" w:cs="Helvetica"/>
          <w:bCs/>
          <w:sz w:val="22"/>
          <w:szCs w:val="22"/>
          <w:u w:val="single"/>
        </w:rPr>
        <w:t>Regime di non imponibilità Iva per le navi d’alto bordo: per le note di variazione resta obbligato committente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Dopo la risoluzione n. 2/E del 12 gennaio 2017, X.</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Se il fornitore non provvede all’emissione delle necessarie note di variazione, resterà obbligato alla regolarizzazione il cessionario (o il committente) che dovrà presentare, entro 30 giorni, al competente ufficio dell’Agenzia delle entrate un documento integrativo (autofattura) in duplice esemplare, nonché copia del versamento dell’imposta (articolo 6, comma 8, Dlgs 471/1997). In questo caso il termine dei 30 giorni “decorre dal momento in cui il cessionario o il committente ha la certezza di non aver effettuato in misura superiore al 70% viaggi in alto mare ovvero, al più tardi, dal termine del periodo d’imposta considerato”.</w:t>
      </w:r>
      <w:r w:rsidRPr="0084312D">
        <w:rPr>
          <w:rFonts w:ascii="Bookman Old Style" w:hAnsi="Bookman Old Style" w:cs="Helvetica"/>
          <w:sz w:val="22"/>
          <w:szCs w:val="22"/>
        </w:rPr>
        <w:br/>
        <w:t>Decorso invano il termine, il cessionario o committente risponderà delle sanzioni dovute per l’omessa regolarizzazione.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bCs/>
          <w:sz w:val="22"/>
          <w:szCs w:val="22"/>
        </w:rPr>
        <w:t>L’Agenzia delle entrate</w:t>
      </w:r>
      <w:r w:rsidRPr="0084312D">
        <w:rPr>
          <w:rFonts w:ascii="Bookman Old Style" w:hAnsi="Bookman Old Style" w:cs="Helvetica"/>
          <w:sz w:val="22"/>
          <w:szCs w:val="22"/>
        </w:rPr>
        <w:t>, con la </w:t>
      </w:r>
      <w:r w:rsidRPr="0084312D">
        <w:rPr>
          <w:rFonts w:ascii="Bookman Old Style" w:hAnsi="Bookman Old Style" w:cs="Helvetica"/>
          <w:bCs/>
          <w:sz w:val="22"/>
          <w:szCs w:val="22"/>
        </w:rPr>
        <w:t>risoluzione n. 6/E del 16 gennaio 2018</w:t>
      </w:r>
      <w:r w:rsidRPr="0084312D">
        <w:rPr>
          <w:rFonts w:ascii="Bookman Old Style" w:hAnsi="Bookman Old Style" w:cs="Helvetica"/>
          <w:sz w:val="22"/>
          <w:szCs w:val="22"/>
        </w:rPr>
        <w:t>, è tornata a soffermarsi sul regime di non imponibilità Iva per le navi adibite alla navigazione in alto mare, integrando e precisando quanto già affermato nella risoluzione n. 2/E del 12 gennaio 2017</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Il fornitore è in ogni caso responsabile in presenza di un’operazione fraudolenta finalizzata alla violazione della normativa Iva.</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Inoltre, tutte le volte in cui il cessionario presenta una dichiarazione (ex post o ex ante) attestante il possesso dei requisiti della non imponibilità, sarà tenuto a conservare idonea documentazione a supporto, anche non obbligatoria, per consentire all’Amministrazione finanziaria la verifica del requisito della “navigazione in alto mare”.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i/>
          <w:sz w:val="22"/>
          <w:szCs w:val="22"/>
        </w:rPr>
        <w:t>Periodo di riferimento per il calcolo della percentuale del 70%</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La condizione della prevalenza dei viaggi in alto mare rispetto al totale dei viaggi effettuati deve essere verificata “per ciascun periodo d’imposta”, ovvero con riferimento all’anno solare.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Sul punto, la risoluzione precisa che se la nave resta ferma per uno o più anni, sarà necessario fare riferimento alla percentuale di navigazione in alto mare effettuata nell’ultimo anno di utilizzo.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Analogamente, se la discontinuità di utilizzo della nave si verifica in corso d’anno, la valutazione della prevalenza andrà effettuata (ex ante o ex post) in relazione al periodo infra-annuale di competenza del nuovo armatore, proprietario o utilizzatore.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i/>
          <w:sz w:val="22"/>
          <w:szCs w:val="22"/>
        </w:rPr>
        <w:t>Decorrenza dell’applicabilità della soglia del 70%</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Infine, la risoluzione precisa che la percentuale del 70% quale soglia limite per la sussistenza della condizione di prevalenza della navigazione in alto mare, al pari di tutti gli altri chiarimenti resi nella risoluzione n. 2/E, in quanto espressione dell’evoluzione degli orientamenti (anche giurisprudenziali) europei, trovano applicazione a partire dal 12 gennaio 2017 (data di pubblicazione della risoluzione).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Nave adibita alla navigazione in alto mare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Con la risoluzione dello scorso anno, l’Agenzia ha chiarito che una nave può essere considerata “adibita alla navigazione in alto mare” se, nel corso dell’anno precedente rispetto a quello in cui s’invoca la non imponibilità, ha effettuato in misura superiore al 70% viaggi in alto mare (ovvero, oltre le 12 miglia marine). Questa condizione (prevalenza dei viaggi in alto mare rispetto al totale dei viaggi effettuati), è stato specificato, deve essere verificata per ciascun periodo d’imposta sulla base di documentazione ufficiale.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Viaggi in alto mare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La risoluzione in esame precisa l’esatto significato da attribuire al termine “viaggio” per la corretta applicazione del regime di non imponibilità.</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A tale scopo, per “viaggio” si devono intendere gli spostamenti tra porti (italiani, Ue o extra Ue) che la nave compie nell’ambito di un servizio di trasporto passeggeri oppure nell’esercizio della propria attività commerciale, “nell’ambito dei quali sono effettuate operazioni di carico/scarico merci o di imbarco/sbarco passeggeri”.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Al contrario, non possono essere considerati “viaggi” (e, dunque, non sono rilevanti per la determinazione della percentuale del 70%) gli spostamenti tra cantieri o porti eseguiti per motivi tecnici.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Più precisamente, il “viaggio in alto mare” è il tragitto compreso tra due punti di approdo (ovvero da e per il medesimo punto di approdo), durante il quale viene superato il limite delle 12 miglia nautiche. In altri termini, il superamento di questa soglia implica che l’intero viaggio è da considerare come avvenuto “in alto mare”.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Peraltro, un viaggio effettuato interamente nelle acque territoriali di un altro Paese (diverso dall’Italia), è da ritenere come interamente effettuato “in alto mare”.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sz w:val="22"/>
          <w:szCs w:val="22"/>
        </w:rPr>
        <w:br/>
      </w:r>
      <w:r w:rsidRPr="0084312D">
        <w:rPr>
          <w:rFonts w:ascii="Bookman Old Style" w:hAnsi="Bookman Old Style" w:cs="Helvetica"/>
          <w:bCs/>
          <w:i/>
          <w:sz w:val="22"/>
          <w:szCs w:val="22"/>
        </w:rPr>
        <w:t>Mancanza di documentazione ufficiale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La risoluzione affronta anche il caso in cui l’acquirente, per cause dimostrabili, non sia in grado di esibire al fornitore la documentazione ufficiale.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In tale ipotesi, è possibile esibire una dichiarazione dell’armatore, del comandante della nave o di chi ha la responsabilità gestionale effettiva, con la quale si attesta al fornitore che la nave è adibita “effettivamente e prevalentemente” alla navigazione in alto mare.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In questa dichiarazione devono essere indicati le seguenti informazioni: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generalità del dichiarante e suo status giuridico rispetto all’imbarcazione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periodo cui la dichiarazione si riferisce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cause che hanno determinato l’impossibilità di esibire documentazione ufficiale.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In presenza di questa dichiarazione il fornitore può emettere le fatture in regime di non imponibilità.</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xml:space="preserve">(Agenzia delle Entrate </w:t>
      </w:r>
      <w:r w:rsidRPr="0084312D">
        <w:rPr>
          <w:rFonts w:ascii="Bookman Old Style" w:hAnsi="Bookman Old Style" w:cs="Helvetica"/>
          <w:bCs/>
          <w:sz w:val="22"/>
          <w:szCs w:val="22"/>
        </w:rPr>
        <w:t>risoluzione n. 6/E del 16 gennaio 2018</w:t>
      </w:r>
      <w:r w:rsidRPr="0084312D">
        <w:rPr>
          <w:rFonts w:ascii="Bookman Old Style" w:hAnsi="Bookman Old Style" w:cs="Helvetica"/>
          <w:sz w:val="22"/>
          <w:szCs w:val="22"/>
        </w:rPr>
        <w:t>)</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u w:val="single"/>
        </w:rPr>
      </w:pPr>
      <w:r w:rsidRPr="0084312D">
        <w:rPr>
          <w:rFonts w:ascii="Bookman Old Style" w:hAnsi="Bookman Old Style" w:cs="Helvetica"/>
          <w:bCs/>
          <w:sz w:val="22"/>
          <w:szCs w:val="22"/>
          <w:u w:val="single"/>
        </w:rPr>
        <w:t>Gestione posizioni a credito aziende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Il messaggio in questione distingue le due fattispecie tipiche delle posizioni a credito: A) DM10 e Nota di rettifica passivi; B) DM10 VIG passivo.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A) DM10 e Nota di rettifica passivi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Sono tre le modalità di recupero del credito: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1) Rimborso: da “Cassetto previdenziale” – “Comunicazione ON-LINE” – “Invio nuova comunicazione” – selezionare modulo “Rimborso Contributi”.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2) Compensazione con altre partite debitorie Inps: da Cassetto previdenziale – Comunicazione ON-LINE – Invio nuova comunicazione – selezionare modulo “Compensazioni”.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3) compensazione F24 (entro 12 mesi).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bCs/>
          <w:i/>
          <w:sz w:val="22"/>
          <w:szCs w:val="22"/>
        </w:rPr>
        <w:t>B) DM 10 Vig Passivo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In questo caso le modalità di recupero sono solo due, essendo interdetta quella tramite F24:</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Rimborso: da “Cassetto previdenziale” – “Comunicazione ON-LINE” – “Invio nuova comunicazione” – selezionare modulo “Rimborso Contributi”.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Compensazione con altre partite debitorie Inps: da “Cassetto previdenziale” – “Comunicazione ON-LINE” – “Invio nuova comunicazione” – selezionare modulo “Compensazioni”.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In presenza di altri debiti è opportuno precisare che la sede Inps può autonomamente compensare gli eventuali crediti dell’azienda. Tale possibilità deve però essere preventivamente comunicata al contribuente, al fine di evitare equivoci proprio sull’utilizzo del credito. Se dalla compensazione, infine, dovesse scaturire un residuo debito, lo stesso sarebbe gravato dalle somme aggiuntive, calcolate dalla data originaria di scadenza del debito contributivo.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bCs/>
          <w:sz w:val="22"/>
          <w:szCs w:val="22"/>
        </w:rPr>
        <w:t>(Consiglio nazionale dei consulenti del lavoro, nota del 10 gennaio 2018)</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u w:val="single"/>
        </w:rPr>
      </w:pPr>
      <w:r w:rsidRPr="0084312D">
        <w:rPr>
          <w:rFonts w:ascii="Bookman Old Style" w:hAnsi="Bookman Old Style" w:cs="Helvetica"/>
          <w:bCs/>
          <w:sz w:val="22"/>
          <w:szCs w:val="22"/>
          <w:u w:val="single"/>
        </w:rPr>
        <w:t>Crediti privilegiati professionisti: IVA e cassa previdenza ora sono compresi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L’art. 1 comma 474 della legge di Bilancio 2018 n.205/17, ha modificato l’art. 2751 del codice civile inserendo tra i crediti privilegiati dei professionisti anche IVA e Contributo alla Cassa di previdenza, finora considerati crediti chirografari.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474. All’articolo 2751-bis, numero 2), del codice civile, dopo le parole: « le retribuzioni dei professionisti » sono inserite le seguenti: « , compresi il contributo integrativo da versare alla rispettiva cassa di previdenza ed assistenza e il credito di rivalsa per l’imposta sul valore aggiunto, ».</w:t>
      </w:r>
    </w:p>
    <w:p w:rsidR="006649DC" w:rsidRPr="0084312D"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Pertanto il nuovo testo del codice civile dal 1.1.2018 sarà il seguente:</w:t>
      </w:r>
    </w:p>
    <w:p w:rsidR="006649DC" w:rsidRPr="0084312D"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Articolo 2751 bis Crediti per retribuzioni e provvigioni, crediti dei coltivatori diretti, delle società od enti cooperativi e delle imprese artigiane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Hanno privilegio generale sui mobili i crediti riguardanti: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1) le retribuzioni dovute, sotto qualsiasi forma, ai prestatori di lavoro subordinato e tutte le indennità dovute per effetto della cessazione del rapporto di lavoro, nonché il credito del lavoratore per i danni conseguenti alla mancata corresponsione, da parte del datore di lavoro, dei contributi previdenziali ed assicurativi obbligatori ed il credito per il risarcimento del danno subito per effetto di un licenziamento inefficace, nullo o annullabile;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2) le retribuzioni dei professionisti e di ogni altro prestatore d’opera intellettuale dovute per gli ultimi due anni di prestazione compresi il contributo integrativo da versare alla rispettiva cassa di previdenza ed assistenza e il credito di rivalsa per l’imposta sul valore aggiunto;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3) le provvigioni derivanti dal rapporto di agenzia dovute per l’ultimo anno di prestazione e le indennità dovute per la cessazione del rapporto medesimo;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4) i crediti del coltivatore diretto, sia proprietario che affittuario, mezzadro, colono, soccidario o comunque compartecipante, per i corrispettivi della vendita dei prodotti nonché i crediti del mezzadro o del colono indicati dall’Articolo 2765;</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5) i crediti dell’impresa artigiana e delle società od enti cooperativi di produzione e di lavoro, per i corrispettivi dei servizi prestati e della vendita dei manufatti;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5 bis) i crediti delle società cooperative agricole e dei loro consorzi per i corrispettivi della vendita dei prodotti.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bCs/>
          <w:sz w:val="22"/>
          <w:szCs w:val="22"/>
        </w:rPr>
        <w:t>(Consiglio nazionale dei consulenti del lavoro, nota del 08 Gennaio 2018)</w:t>
      </w:r>
    </w:p>
    <w:p w:rsidR="006649DC" w:rsidRDefault="006649DC" w:rsidP="009E137C">
      <w:pPr>
        <w:pStyle w:val="Heading3"/>
        <w:rPr>
          <w:b/>
          <w:sz w:val="28"/>
          <w:szCs w:val="28"/>
          <w:u w:val="none"/>
        </w:rPr>
      </w:pPr>
    </w:p>
    <w:p w:rsidR="006649DC" w:rsidRDefault="006649DC" w:rsidP="006E7FF2"/>
    <w:p w:rsidR="006649DC" w:rsidRDefault="006649DC" w:rsidP="006E7FF2"/>
    <w:p w:rsidR="006649DC" w:rsidRDefault="006649DC" w:rsidP="008C075E">
      <w:pPr>
        <w:pStyle w:val="Heading3"/>
        <w:rPr>
          <w:b/>
          <w:sz w:val="28"/>
          <w:szCs w:val="28"/>
          <w:u w:val="none"/>
        </w:rPr>
      </w:pPr>
      <w:bookmarkStart w:id="130" w:name="_Toc506559958"/>
      <w:r>
        <w:rPr>
          <w:b/>
          <w:sz w:val="28"/>
          <w:szCs w:val="28"/>
          <w:u w:val="none"/>
        </w:rPr>
        <w:t>I</w:t>
      </w:r>
      <w:r w:rsidRPr="003B1B09">
        <w:rPr>
          <w:b/>
          <w:sz w:val="28"/>
          <w:szCs w:val="28"/>
          <w:u w:val="none"/>
        </w:rPr>
        <w:t>MPOSTE DIRETTE</w:t>
      </w:r>
      <w:bookmarkStart w:id="131" w:name="_Toc469935670"/>
      <w:bookmarkEnd w:id="129"/>
      <w:bookmarkEnd w:id="130"/>
    </w:p>
    <w:p w:rsidR="006649DC" w:rsidRPr="008C075E" w:rsidRDefault="006649DC" w:rsidP="008C075E">
      <w:pPr>
        <w:pStyle w:val="BX-TESTO-CENTR"/>
        <w:ind w:left="0"/>
        <w:jc w:val="left"/>
        <w:rPr>
          <w:rFonts w:ascii="Bookman Old Style" w:hAnsi="Bookman Old Style" w:cs="Helvetica"/>
          <w:color w:val="auto"/>
          <w:szCs w:val="22"/>
          <w:u w:val="single"/>
        </w:rPr>
      </w:pPr>
      <w:r w:rsidRPr="008C075E">
        <w:rPr>
          <w:rFonts w:ascii="Bookman Old Style" w:hAnsi="Bookman Old Style" w:cs="Helvetica"/>
          <w:color w:val="auto"/>
          <w:szCs w:val="22"/>
          <w:u w:val="single"/>
        </w:rPr>
        <w:t>Modello 730/2018: arrivate le novità sui redditi da dichiarare</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Assosoftware, con una nota del 9 gennaio 2018 redatta dal Comitato tecnico, ha diffuso le novità relative ai redditi da dichiarare con il modello 730/2018. Verranno successivamente approfondite, in altra sede, le novità relative agli oneri deducibili e detraibili.</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i/>
          <w:sz w:val="22"/>
          <w:szCs w:val="22"/>
        </w:rPr>
      </w:pPr>
      <w:r w:rsidRPr="00DA5773">
        <w:rPr>
          <w:rFonts w:ascii="Bookman Old Style" w:hAnsi="Bookman Old Style" w:cs="Helvetica"/>
          <w:bCs/>
          <w:i/>
          <w:sz w:val="22"/>
          <w:szCs w:val="22"/>
        </w:rPr>
        <w:t>Dichiarazione precompilata</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La prima novità è legata alle nuove informazioni che l’agenzia delle Entrate raccoglierà, nei primi mesi del 2018, finalizzate alla predisposizione della dichiarazione precompilata.</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In particolare viene segnalata l’introduzione di 4 nuove comunicazioni, a carico di specifiche tipologie di soggetti obbligati:</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 la comunicazione delle spese attribuite ai condomini per lavori effettuati sulle parti comuni;</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 la comunicazione dei dati relativi alle spese e ai rimborsi per a frequenza degli asili nido</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 la comunicazione dei dati della previdenza complementare;</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 la comunicazione dei dati relativi alle spese sanitarie rimborsate.</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Questo dovrebbe servire all’Agenzia delle Entrate per predisporre una dichiarazione 730/2018 precompilata più completa.</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i/>
          <w:sz w:val="22"/>
          <w:szCs w:val="22"/>
        </w:rPr>
      </w:pPr>
      <w:r w:rsidRPr="00DA5773">
        <w:rPr>
          <w:rFonts w:ascii="Bookman Old Style" w:hAnsi="Bookman Old Style" w:cs="Helvetica"/>
          <w:bCs/>
          <w:i/>
          <w:sz w:val="22"/>
          <w:szCs w:val="22"/>
        </w:rPr>
        <w:t>Frontespizio</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La prima novità è insita nel frontespizio, laddove viene consentita l’indicazione delle informazioni necessarie per poter applicare aliquote e regole fiscali differenziate per quei comuni che risultano dalla fusione di più comuni, in particolare in quei casi in cui il comune abbia stabilito di mantenere, non oltre il 5° esercizio finanziario successivo, tributi e tariffe differenziati per ciascuno dei territori degli enti preesistenti alla fusione (articolo 21, comma 2-ter, del Dl 50/2017).</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Per far ciò sul rigo domicilio fiscale al 1° gennaio 2017 (che va sempre compilato), qualora il comune in cui il contribuente risiede sia stato istituito per fusione avvenuta fino al 1° gennaio 2017 e qualora tale comune abbia deliberato aliquote dell’addizionale comunale all’Irpef differenziate per ciascuno dei territori dei comuni estinti, è necessario compilare la casella “Fusione comuni” con l’indicazione dell’apposito codice identificativo del territorio riportato nell’apposita tabella.</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Se poi il contribuente risiede in un comune fuso che ha deliberato aliquote differenziate per ciascuno dei municipi riferiti ai comuni estinti e il municipio di residenza al 1° gennaio 2017 è diverso da quello di residenza al 1° gennaio 2018, dovrà risultare compilato sia il rigo del domicilio fiscale al 1° gennaio 2017 (riportando nella casella “Fusione Comuni” il codice identificativo del municipio nel quale si risiedeva a tale data), che il rigo del domicilio fiscale al 1° gennaio 2018 (riportando nella casella “Fusione Comuni” il codice identificativo del municipio nel quale si risiede a tale data).</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La casella “Casi particolari addizionale regionale” va compilata con il codice 1 esclusivamente da coloro che hanno il domicilio fiscale nel Veneto, Basilicata e Lazio e si trovano nelle condizioni riportate in Appendice alla voce “Addizionale regionale casi particolari”, al fine di fruire di un’aliquota agevolata. Coloro che hanno il domicilio fiscale nel Veneto e richiedono l’agevolazione per se stessi indicano il codice 2.</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i/>
          <w:sz w:val="22"/>
          <w:szCs w:val="22"/>
        </w:rPr>
      </w:pPr>
      <w:r w:rsidRPr="00DA5773">
        <w:rPr>
          <w:rFonts w:ascii="Bookman Old Style" w:hAnsi="Bookman Old Style" w:cs="Helvetica"/>
          <w:bCs/>
          <w:i/>
          <w:sz w:val="22"/>
          <w:szCs w:val="22"/>
        </w:rPr>
        <w:t>Redditi dei terreni (quadro A)</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Confermata per i terreni la consueta rivalutazione (operata dal soggetto che presta assistenza fiscale) del reddito dominicale dell’80% e del reddito agrario del 70%, e altresì confermata l’ulteriore rivalutazione dei redditi dominicale e agrario del 30%. La novità è che, per gli anni 2017, 2018 e 2019, i redditi dominicali e agrari non concorrono alla formazione della base imponibile ai fini dell’imposta sul reddito delle persone fisiche dei coltivatori diretti e degli imprenditori agricoli professionali (Iap, casella di colonna 10 barrata) iscritti nella previdenza agricola (articolo 1, comma 44, della legge 232/2016).</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i/>
          <w:sz w:val="22"/>
          <w:szCs w:val="22"/>
        </w:rPr>
      </w:pPr>
      <w:r w:rsidRPr="00DA5773">
        <w:rPr>
          <w:rFonts w:ascii="Bookman Old Style" w:hAnsi="Bookman Old Style" w:cs="Helvetica"/>
          <w:bCs/>
          <w:i/>
          <w:sz w:val="22"/>
          <w:szCs w:val="22"/>
        </w:rPr>
        <w:t>Dati comunicati dall’amministratore di condominio (quadro K)</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Ridotto il numero dei dati richiesti nella sezione III del quadro K “comunicazione dell’amministratore di condominio”. Infatti nella sezione I “Dati identificativi del condominio”, nel rigo K1 devono come sempre essere indicati, relativamente a ciascun condominio, nel campo 1 il codice fiscale e nel campo 2 l’eventuale denominazione, mentre nella sezione II “Dati catastali del condominio” devono essere indicati i dati identificativi del condominio oggetto di interventi sulle parti comuni condominiali, con riferimento agli interventi di recupero del patrimonio edilizio.</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Nella Sezione III “Dati relativi ai fornitori e agli acquisti di beni e servizi”, invece, devono ora essere indicati solo più il codice fiscale, il cognome e il nome ovvero la denominazione, il codice stato estero del fornitore e l’importo complessivo degli acquisti di beni e servizi (eliminati il sesso, la data, il comune e la provincia di nascita).</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i/>
          <w:sz w:val="22"/>
          <w:szCs w:val="22"/>
        </w:rPr>
      </w:pPr>
      <w:r w:rsidRPr="00DA5773">
        <w:rPr>
          <w:rFonts w:ascii="Bookman Old Style" w:hAnsi="Bookman Old Style" w:cs="Helvetica"/>
          <w:bCs/>
          <w:i/>
          <w:sz w:val="22"/>
          <w:szCs w:val="22"/>
        </w:rPr>
        <w:t>Contributo di solidarietà eliminato</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Eliminato dal modello e dalle istruzioni ogni riferimento al contributo di solidarietà del 3% sul reddito complessivo eccedente il limite di 300mila euro, poiché ne era stata prevista l’applicazione solo dal 1° gennaio 2014 al 31 dicembre 2016 (articolo 1, comma 590, della legge 147/2013).</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i/>
          <w:sz w:val="22"/>
          <w:szCs w:val="22"/>
        </w:rPr>
      </w:pPr>
      <w:r w:rsidRPr="00DA5773">
        <w:rPr>
          <w:rFonts w:ascii="Bookman Old Style" w:hAnsi="Bookman Old Style" w:cs="Helvetica"/>
          <w:bCs/>
          <w:i/>
          <w:sz w:val="22"/>
          <w:szCs w:val="22"/>
        </w:rPr>
        <w:t>Redditi dei fabbricati (quadro B)</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Eliminato l’obbligo di indicazione, nella dichiarazione dei redditi, degli estremi di registrazione del contratto di locazione, nonché di quelli della denuncia dell’immobile ai fini dell’applicazione dell’Ici (Imu), per poter fruire della riduzione del reddito imponibile derivante da contratti a canone concordato di locazione di immobili situati in comuni ad alta densità abitativa (articolo 13, comma 4-octies, del Dl 244/2016).</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L’indicazione degli estremi di registrazione del contratto di locazione, nonché di quelli della denuncia dell’immobile ai fini dell’applicazione dell’Ici (Imu), rimane invece in vigore, per effetto dell’articolo 5, comma 2, dell’Ordinanza del Presidente del Consiglio 3813/2009, per poter fruire della riduzione del reddito imponibile derivante al proprietario che stipula contratti di locazione per soddisfare le esigenze abitative delle persone fisiche residenti o stabilmente dimoranti nei territori colpiti dal sisma Abruzzo.</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i/>
          <w:sz w:val="22"/>
          <w:szCs w:val="22"/>
        </w:rPr>
      </w:pPr>
      <w:r w:rsidRPr="00DA5773">
        <w:rPr>
          <w:rFonts w:ascii="Bookman Old Style" w:hAnsi="Bookman Old Style" w:cs="Helvetica"/>
          <w:bCs/>
          <w:i/>
          <w:sz w:val="22"/>
          <w:szCs w:val="22"/>
        </w:rPr>
        <w:t>Locazioni brevi</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A partire dal 1° giugno 2017 è stata introdotta un’apposita disciplina fiscale per i contratti di locazioni di immobili a uso abitativo situati in Italia, la cui durata non supera i 30 giorni e stipulati da persone fisiche al di fuori dell’esercizio di attività d’impresa (articolo 4, commi da 1 a 7, del Dl 50/2017).</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Il reddito derivante da tali locazioni brevi costituisce reddito fondiario e va indicato nel quadro B qualora sia realizzato dal proprietario dell’immobile (o titolare di altro diritto reale), mentre costituisce reddito diverso e va indicato nel quadro D qualora sia realizzato dal sublocatore o dal comodatario (rigo D4, codice 10, le relative ritenute vanno però indicate nel rigo F8).</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Ne consegue che nella determinazione del rigo PL06, del modello 730-3, da quest’anno si deve tenere conto anche dell’ammontare dei redditi diversi da locazione di immobili da assoggettare a cedolare secca con aliquota del 21% derivanti anche dal quadro D (e non più solo da quelli derivanti dal quadro B).</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La nuova disciplina prevede, inoltre, che se i contratti di locazione breve sono stati conclusi con l’intervento di soggetti che esercitano attività di intermediazione immobiliare, anche attraverso la gestione di portali on-line, i canoni di locazione sono assoggettati a una ritenuta del 21% se tali soggetti intervengono anche nel pagamento o incassano i canoni o i corrispettivi derivanti dai contratti di locazione breve (la ritenuta è effettuata nel momento in cui l’intermediario riversa le somme al locatore). La ritenuta è applicata sull’importo del canone o del corrispettivo lordo indicato nel contratto di locazione breve.</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Il termine di 30 giorni deve essere considerato in relazione a ogni singola pattuizione contrattuale e, nel caso di più contratti stipulati nell’anno tra le stesse parti, occorre considerare ogni singolo contratto, fermo restando tuttavia che se la durata delle locazioni che intervengono nell’anno tra le medesime parti è complessivamente superiore a 30 giorni, devono essere posti in essere gli adempimenti connessi alla registrazione del contratto.</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La ritenuta è a titolo d’imposta se nella dichiarazione dei redditi o all’atto della registrazione del contratto si opta per l’applicazione della cedolare secca, altrimenti la ritenuta è a titolo d’acconto e va indicata nella dichiarazione dei redditi relativa all’anno d’imposta nel corso del quale è stata effettuata.</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Gli intermediari che effettuano la ritenuta, sono tenuti a certificare le ritenute operate ai locatori mediante il rilascio della Certificazione Unica.</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Il reddito fondiario derivante dalla locazione effettuata nel corso del 2017 va indicato nella dichiarazione dei redditi “per competenza” anche se il corrispettivo non è stato ancora percepito o, se percepito, la Certificazione Unica non è stata rilasciata. Se invece il corrispettivo è stato percepito nel 2017, ma la locazione è avvenuta nel corso del 2018, la tassazione va rinviata “per competenza” all’anno in cui la locazione è effettivamente effettuata.</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i/>
          <w:sz w:val="22"/>
          <w:szCs w:val="22"/>
        </w:rPr>
      </w:pPr>
      <w:r w:rsidRPr="00DA5773">
        <w:rPr>
          <w:rFonts w:ascii="Bookman Old Style" w:hAnsi="Bookman Old Style" w:cs="Helvetica"/>
          <w:bCs/>
          <w:i/>
          <w:sz w:val="22"/>
          <w:szCs w:val="22"/>
        </w:rPr>
        <w:t>Lavoro dipendente e pensione (quadro C)</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È stata resa permanente l’agevolazione per tutti i docenti e ricercatori che ritornano a svolgere la loro attività in Italia (articolo 1, comma 149, della legge di stabilità 2017), in questo caso occorre indicare il codice 2 nella casella casi particolari del quadro C.</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Occorre invece indicare il codice 4 se si fruisce in dichiarazione dell’agevolazione, prevista per i lavoratori “rimpatriati” che rientrano in Italia dall’estero. In tal caso, in presenza dei requisiti previsti dall’articolo 16, del Dlgs 147/2015, i redditi di lavoro dipendente concorrono alla formazione del reddito complessivo nella misura del 50%.</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Per quanto riguarda le somme per premi di risultato, sono aumentati da 2mila a 3mila e da 2.500 a 4mila i limiti degli importi erogabili sotto forma di premi di risultato. È altresì aumentato da 50mila a 80mila euro il limite di reddito di lavoro dipendente percepito nell’anno precedente a quello di percezione delle somme agevolate.</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Sempre in relazione ai premi di risultato, sono state introdotte nuove tipologie di benefit a tassazione ordinaria (articolo 51, comma 4, del Tuir), sotto forma di auto aziendali, prestiti, alloggi o fabbricati concessi in uso o comodato o servizi di trasporto ferroviario di persone. Nell’ipotesi in cui il datore di lavoro abbia riconosciuto al lavoratore l’agevolazione prevista per i premi di risultato in assenza dei requisiti previsti dalla norma, in dichiarazione il lavoratore deve assoggettare tali somme, incluso il valore dei benefit, a tassazione ordinaria.(articolo 1, comma 160, della legge di stabilità 2017).</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Per quanto riguarda la detrazione per redditi di pensione, sono state aumentate le detrazioni dall’imposta lorda Irpef spettanti con riferimento ai redditi da pensione (articolo 1, comma 210, legge di Stabilità 2017, che ha modificato l’articolo 13 del Tuir).</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Sono state poi recepite all’interno del quadro C alcune norme di minore rilevanza.</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E’ stata introdotta l’esenzione (ai fini delle imposte sui redditi):</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 per i trattamenti pensionistici vittime del dovere e familiari superstiti. Ai trattamenti pensionistici spettanti alle vittime del dovere e ai loro familiari superstiti si applicano ora le medesime disposizioni previste per “le somme” corrisposte alle vittime del terrorismo in materia di esenzione dall’imposta sui redditi (articolo 1, comma 211, della legge di Stabilità 2017);</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 delle borse di studio nazionali per il merito e per la mobilità erogate dalla “Fondazione Articolo 34”, in passato “Fondazione per il Merito” (articolo 1, comma 285, della legge di Stabilità 2017).</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Viene, infine, introdotta l’esclusione dal regime di imposizione tributaria delle quote di pensione in favore dei superstiti corrisposte agli orfani dal reddito, fino a un limite di importo pari a 1mila euro (articolo 1, comma 249 legge di Stabilità 2017), da indicare tramite due nuovi codici da inserire nella colonna 1 dei righi da C1 a C3:</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 codice 7, redditi di pensione in favore dei superstiti corrisposte agli orfani;</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codice 8, redditi di pensione prodotti in euro, in favore dei superstiti corrisposte agli orfani iscritti nei registri anagrafici del comune di Campione d’Italia.</w:t>
      </w:r>
      <w:r w:rsidRPr="00DA5773">
        <w:rPr>
          <w:rFonts w:ascii="Bookman Old Style" w:hAnsi="Bookman Old Style" w:cs="Helvetica"/>
          <w:sz w:val="22"/>
          <w:szCs w:val="22"/>
        </w:rPr>
        <w:br/>
        <w:t>Se nella colonna 1 è stato indicato il codice 7 (redditi di pensione in favore dei superstiti corrisposte agli orfani) è necessario tener conto della sola parte di reddito eccedente i 1mila euro, mentre se è stato indicato il codice 8 (redditi di pensione in favore dei superstiti corrisposte in euro agli orfani residenti a Campione d’Italia) è necessario tener conto della sola parte di reddito eccedente i 7.700 euro.</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bCs/>
          <w:sz w:val="22"/>
          <w:szCs w:val="22"/>
        </w:rPr>
        <w:t>(Assosoftware, nota del 9 gennaio 2018)</w:t>
      </w:r>
    </w:p>
    <w:p w:rsidR="006649DC" w:rsidRPr="008C075E" w:rsidRDefault="006649DC" w:rsidP="008C075E"/>
    <w:p w:rsidR="006649DC" w:rsidRPr="008C075E" w:rsidRDefault="006649DC" w:rsidP="008C075E">
      <w:pPr>
        <w:pStyle w:val="BX-TESTO-CENTR"/>
        <w:ind w:left="0"/>
        <w:jc w:val="left"/>
        <w:rPr>
          <w:rFonts w:ascii="Bookman Old Style" w:hAnsi="Bookman Old Style" w:cs="Helvetica"/>
          <w:color w:val="auto"/>
          <w:szCs w:val="22"/>
          <w:u w:val="single"/>
        </w:rPr>
      </w:pPr>
      <w:r w:rsidRPr="008C075E">
        <w:rPr>
          <w:rFonts w:ascii="Bookman Old Style" w:hAnsi="Bookman Old Style" w:cs="Helvetica"/>
          <w:color w:val="auto"/>
          <w:szCs w:val="22"/>
          <w:u w:val="single"/>
        </w:rPr>
        <w:t>Modelli 730, cu, 770, cupe, iva in versione definitiva</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Disponibili sul sito dell’Agenzia delle Entrate i modelli 2018 delle dichiarazioni 730, certificazione unica, Iva, 770, Iva 74-bis e CUPE, con le relative istruzioni. Tra le principali modifiche, l’ingresso nei modelli 730 e CU di cedolare secca per le locazioni brevi e dei premi di risultato e del welfare aziendale. Nel modello Iva, invece, trovano spazio le ultime novità in materia di Iva di gruppo e split payment. Le versioni definitive dei modelli 2018 tengono conto delle osservazioni e dei suggerimenti forniti degli operatori del settore che il direttore dell’Agenzia Ernesto Maria Ruffini ha voluto ringraziare per la disponibilità e il contributo di professionalità, nel percorso di condivisione e collaborazione costruttiva che ha tra i principali obiettivi migliorare gli strumenti del fisco.</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i/>
          <w:sz w:val="22"/>
          <w:szCs w:val="22"/>
        </w:rPr>
      </w:pP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i/>
          <w:sz w:val="22"/>
          <w:szCs w:val="22"/>
        </w:rPr>
      </w:pPr>
      <w:r w:rsidRPr="00DA5773">
        <w:rPr>
          <w:rFonts w:ascii="Bookman Old Style" w:hAnsi="Bookman Old Style" w:cs="Helvetica"/>
          <w:bCs/>
          <w:i/>
          <w:sz w:val="22"/>
          <w:szCs w:val="22"/>
        </w:rPr>
        <w:t>Modello 730/2018</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Cambiano alcune detrazioni e c’è una nuova scadenza – Aggiornate le istruzioni del modello 730/2018 con il nuovo termine del 23 luglio per l’invio della dichiarazione. La nuova scadenza è valida sia per chi invia la precompilata in autonomia che per chi si avvale dell’assistenza fiscale tramite Caf o professionisti. Tra i vari aggiornamenti del nuovo modello rientrano anche le percentuali di detrazione più ampie per le spese sostenute per gli interventi antisismici effettuati su parti comuni di edifici condominiali e per gli interventi che comportano una riduzione della classe di rischio sismico e per alcune spese per interventi di riqualificazione energetica di parti comuni degli edifici condominiali. Aumentato il limite per le spese d’istruzione per la frequenza di scuole dell’infanzia, del primo ciclo di istruzione e della scuola secondaria di secondo grado del sistema nazionale d’istruzione (passato da 564 a 717 euro).</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i/>
          <w:sz w:val="22"/>
          <w:szCs w:val="22"/>
        </w:rPr>
      </w:pPr>
      <w:r w:rsidRPr="00DA5773">
        <w:rPr>
          <w:rFonts w:ascii="Bookman Old Style" w:hAnsi="Bookman Old Style" w:cs="Helvetica"/>
          <w:bCs/>
          <w:i/>
          <w:sz w:val="22"/>
          <w:szCs w:val="22"/>
        </w:rPr>
        <w:t>Modello 730/2018</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Welfare e affitti brevi – Entra nel 730/2018 anche la nuova disciplina fiscale per i contratti di locazione di immobili ad uso abitativo, situati in Italia, la cui durata non supera i 30 giorni e stipulati da persone fisiche al di fuori dell’esercizio di attività d’impresa. In questo caso, il reddito derivante da queste locazioni costituisce reddito fondiario per il proprietario dell’immobile (o per il titolare di altro diritto reale) e va indicato nel quadro B. Per il sublocatore o il comodatario, il reddito derivante da tali locazioni brevi costituisce reddito diverso e va indicato nel quadro D, al rigo D4, con il nuovo codice “10”. Nel nuovo 730 è stato aggiornato anche il rigo F8, in modo da poter indicare l’importo delle ritenute riportato nel quadro Certificazione Redditi – Locazioni brevi della Certificazione Unica 2018. Novità in arrivo inoltre per i premi di risultato e welfare aziendale: è aumentato l’importo delle somme per premi di risultato erogate nel settore privato ai lavoratori dipendenti (passato da 2.000 a 3.000 euro).</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bCs/>
          <w:i/>
          <w:sz w:val="22"/>
          <w:szCs w:val="22"/>
        </w:rPr>
      </w:pPr>
      <w:r w:rsidRPr="00DA5773">
        <w:rPr>
          <w:rFonts w:ascii="Bookman Old Style" w:hAnsi="Bookman Old Style" w:cs="Helvetica"/>
          <w:bCs/>
          <w:i/>
          <w:sz w:val="22"/>
          <w:szCs w:val="22"/>
        </w:rPr>
        <w:t>Modello Iva/2018</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Cambiamenti per il quadro VH, l’Iva di gruppo e lo split payment – Nuova veste per il quadro VH che da quest’anno dovrà essere compilato esclusivamente qualora si intenda inviare, integrare o correggere i dati omessi, incompleti o errati nelle comunicazioni delle liquidazioni periodiche Iva (ris. n. 104/E del 28 luglio 2017). Gli enti o le società commerciali controllanti dal 2018 potranno comunicare l’esercizio congiunto dell’opzione unicamente nella dichiarazione annuale Iva (quadro VG). Il vecchio modello Iva 26 potrà adesso essere utilizzato per comunicare l’esercizio congiunto dell’opzione solo nell’ipotesi in cui non sia possibile utilizzare la dichiarazione annuale Iva relativa all’anno solare precedente a quello a decorrere dal quale si intende esercitare l’opzione. Nel quadro VX sono stati inseriti nuovi righi per l’indicazione da parte delle società partecipanti alla liquidazione Iva di gruppo per l’intero anno, rispettivamente, dell’Iva dovuta o dell’Iva a credito da trasferire alla controllante. Infine, sono stati rinominati i righi VE38 e VJ18 per l’esposizione delle cessioni e degli acquisti effettuati in regime di split payment riguardanti non solo le pubbliche amministrazioni ma anche alcune società.</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i/>
          <w:sz w:val="22"/>
          <w:szCs w:val="22"/>
        </w:rPr>
      </w:pP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i/>
          <w:sz w:val="22"/>
          <w:szCs w:val="22"/>
        </w:rPr>
      </w:pPr>
      <w:r w:rsidRPr="00DA5773">
        <w:rPr>
          <w:rFonts w:ascii="Bookman Old Style" w:hAnsi="Bookman Old Style" w:cs="Helvetica"/>
          <w:bCs/>
          <w:i/>
          <w:sz w:val="22"/>
          <w:szCs w:val="22"/>
        </w:rPr>
        <w:t>Certificazione Unica 2018</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sz w:val="22"/>
          <w:szCs w:val="22"/>
        </w:rPr>
        <w:t>Spazio a locazioni brevi e premi di risultato – Per gestire il nuovo regime fiscale delle locazioni brevi è stata prevista una nuova certificazione. La recente normativa ha, infatti, stabilito che i soggetti residenti in Italia che esercitano attività di intermediazione immobiliare, nonché quelli che gestiscono portali telematici, qualora incassino i canoni o i corrispettivi relativi a questi contratti o qualora intervengano nel pagamento dei canoni o corrispettivi, operano, in qualità di sostituti d’imposta, una ritenuta del 21% sull’ammontare dei canoni e corrispettivi all’atto del pagamento al beneficiario e provvedono al relativo versamento e al rilascio della relativa certificazione. Nel nuovo modello CU 2018 è stata aggiornata anche la sezione relativa ai premi di risultato, implementata la sezione riguardante i rimborsi di beni e servizi non soggetti a tassazione e inserita una casella per una migliore gestione del personale comandato presso altre Amministrazioni dello Stato.</w:t>
      </w:r>
    </w:p>
    <w:p w:rsidR="006649DC" w:rsidRPr="00DA5773" w:rsidRDefault="006649DC" w:rsidP="008C075E">
      <w:pPr>
        <w:pStyle w:val="western"/>
        <w:shd w:val="clear" w:color="auto" w:fill="FFFFFF"/>
        <w:spacing w:before="0" w:beforeAutospacing="0" w:after="0" w:afterAutospacing="0"/>
        <w:jc w:val="both"/>
        <w:rPr>
          <w:rFonts w:ascii="Bookman Old Style" w:hAnsi="Bookman Old Style" w:cs="Helvetica"/>
          <w:sz w:val="22"/>
          <w:szCs w:val="22"/>
        </w:rPr>
      </w:pPr>
      <w:r w:rsidRPr="00DA5773">
        <w:rPr>
          <w:rFonts w:ascii="Bookman Old Style" w:hAnsi="Bookman Old Style" w:cs="Helvetica"/>
          <w:bCs/>
          <w:sz w:val="22"/>
          <w:szCs w:val="22"/>
        </w:rPr>
        <w:t>(Agenzia delle entrate, comunicato n. 1 del 15 gennaio 2018)</w:t>
      </w:r>
    </w:p>
    <w:p w:rsidR="006649DC" w:rsidRPr="008C075E" w:rsidRDefault="006649DC" w:rsidP="008C075E"/>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u w:val="single"/>
        </w:rPr>
      </w:pPr>
      <w:r w:rsidRPr="0084312D">
        <w:rPr>
          <w:rFonts w:ascii="Bookman Old Style" w:hAnsi="Bookman Old Style" w:cs="Helvetica"/>
          <w:bCs/>
          <w:sz w:val="22"/>
          <w:szCs w:val="22"/>
          <w:u w:val="single"/>
        </w:rPr>
        <w:t>Comunicazione dei dati per la dichiarazione dei redditi precompilata da parte delle Ipab</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Arrivato anche il chiarimento da parte </w:t>
      </w:r>
      <w:r w:rsidRPr="0084312D">
        <w:rPr>
          <w:rFonts w:ascii="Bookman Old Style" w:hAnsi="Bookman Old Style" w:cs="Helvetica"/>
          <w:bCs/>
          <w:sz w:val="22"/>
          <w:szCs w:val="22"/>
        </w:rPr>
        <w:t>dell’Agenzia delle entrate</w:t>
      </w:r>
      <w:r w:rsidRPr="0084312D">
        <w:rPr>
          <w:rFonts w:ascii="Bookman Old Style" w:hAnsi="Bookman Old Style" w:cs="Helvetica"/>
          <w:sz w:val="22"/>
          <w:szCs w:val="22"/>
        </w:rPr>
        <w:t> con la </w:t>
      </w:r>
      <w:r w:rsidRPr="0084312D">
        <w:rPr>
          <w:rFonts w:ascii="Bookman Old Style" w:hAnsi="Bookman Old Style" w:cs="Helvetica"/>
          <w:bCs/>
          <w:sz w:val="22"/>
          <w:szCs w:val="22"/>
        </w:rPr>
        <w:t>risoluzione n. 7/E del 16 gennaio 2018</w:t>
      </w:r>
      <w:r w:rsidRPr="0084312D">
        <w:rPr>
          <w:rFonts w:ascii="Bookman Old Style" w:hAnsi="Bookman Old Style" w:cs="Helvetica"/>
          <w:sz w:val="22"/>
          <w:szCs w:val="22"/>
        </w:rPr>
        <w:t>, emanata per rispondere a un’istanza di interpello.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i/>
          <w:sz w:val="22"/>
          <w:szCs w:val="22"/>
        </w:rPr>
        <w:t xml:space="preserve">Precompilata: se è spesa sanitaria anche l’Ipab la invia al sistema Ts. </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L’obbligo di trasmissione riguarda le sole prestazioni mediche erogate dalla struttura e rimaste a carico dell’utente, attestate da fatture, se sono state rilasciate su richiesta del cliente.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Le Ipab, sono tenute a comunicare al Sistema tessera sanitaria le spese mediche rimaste a carico dell’utente e comprovate dal rilascio del documento fiscale richiesto dall’interessato e, nel caso in cui non sia possibile distinguere in modo analitico le spese sanitarie da quelle non sanitarie, devono determinare la quota di spese di cura applicando alla retta di ricovero la percentuale forfetaria stabilita dalle delibere regionali. Il quesito posto all’attenzione dell’Agenzia concerne la sussistenza o meno dell’obbligo di comunicare i dati relativi alle spese sanitarie per la predisposizione della dichiarazione precompilata da parte di un Istituto pubblico di assistenza e beneficenza.</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L’istante, infatti, è un Ipab che gestisce una struttura residenziale per anziani autosufficienti e non autosufficienti. L’attività svolta è esente da Iva ai sensi dell’articolo 10, commi 20 e 27-ter, Dpr 633/1972 e l’istituto è dispensato dagli obblighi di fatturazione e registrazione e per questo motivo non emette fatture per le rette che gli utenti pagano per i servizi offerti.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Con il Dlgs n. 175/2014, come modificato dalla legge di stabilità 2016, è stato previsto l’obbligo per le strutture accreditate per l’erogazione dei servizi sanitari, nonché delle strutture autorizzate e non accreditate, di inviare al Sistema tessera sanitaria i dati relativi alle prestazioni sanitarie erogate, per consentire l’elaborazione della dichiarazione dei redditi precompilata.</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Successivi decreti ministeriali (Dm 31 luglio 2015, Dm 2 agosto 2016 e Dm 1° settembre 2016) e i provvedimenti del direttore dell’Agenzia delle entrate 29 luglio 2016 e 15 settembre 2016 hanno completato il quadro di riferimento normativo, disciplinando le modalità di trasmissione telematica dei dati delle spese sanitarie e individuando quali siano le strutture obbligate a tale adempimento.</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Pertanto, le strutture che operano nel settore assistenziale e socio-sanitario (ad esempio, le residenze assistenziali sanitarie, le case di cura, le residenze per anziani, eccetera) ricadono nella disciplina citata e sono quindi tenute a trasmettere al Sistema tessera sanitaria le spese relative alle prestazioni mediche detraibili se e nella misura in cui le stesse sono rimaste a carico dell’utente.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In tal senso rientra a pieno titolo nella tipologia di strutture tenute alla comunicazione anche l’ente che ha rappresentato il quesito, per il quale l’obbligo si riferisce esclusivamente alle prestazioni sanitarie erogate dalla struttura e rimaste a carico dell’utente, attestate da documenti fiscali di spesa, che sono stati rilasciati su richiesta del cliente.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La risoluzione odierna, nell’esplicitare ulteriormente quali siano le spese sanitarie da comunicare al sistema Ts, fa riferimento a quanto già chiarito con la circolare 7/2017 e cioè che nel caso di ricovero di un anziano in un istituto di assistenza la detrazione spetta esclusivamente per le spese mediche e non per quelle relative alla retta di ricovero; tale detrazione viene riconosciuta anche se le spese mediche sono determinate applicando alla retta di ricovero una percentuale forfetaria stabilita da delibere regionali. Inoltre, per quanto riguarda, ad esempio le spese “alberghiere” sostenute in occasione di degenze ospedaliere, le stesse vanno trasmesse con la tipologia “altre spese” (codice AA) o non trasmesse affatto, in quanto imputabili a costi non sanitari.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Inoltre, il documento di prassi chiarisce che se l’utente ha richiesto il rilascio dei documenti fiscali o se l’ente rende prestazioni esenti ai sensi dell’articolo 10, commi 18 e 19, del Dpr 633/1972, l’Ipab ha l’obbligo di comunicare tali dati al sistema Ts, mentre tale obbligo non sussiste per le prestazioni per le quali non siano stati emessi documenti fiscali.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Per consentire ai contribuenti di documentare la detrazione o deduzione dell’onere e all’Agenzia delle entrate di indicare la quota di spese sanitarie nella dichiarazione dei redditi precompilata, è utile ricordare che, nel caso di emissione di documenti di spesa, occorre: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dettagliare analiticamente le singole voci di spesa sanitaria e la quota rimasta a carico dell’utente, distinguendo in fattura, in particolare, le singole voci di spesa sanitaria, di spesa non sanitaria e di spesa non rimasta a carico dell’assistito perché pagata o rimborsata da un soggetto terzo (ad esempio, comune o regione);</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qualora non sia possibile distinguere in modo analitico le spese sanitarie e non sanitarie, determinare la quota di spese mediche applicando alla retta di ricovero la percentuale forfetaria stabilita dalle delibere regionali.</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w:t>
      </w:r>
      <w:r w:rsidRPr="0084312D">
        <w:rPr>
          <w:rFonts w:ascii="Bookman Old Style" w:hAnsi="Bookman Old Style" w:cs="Helvetica"/>
          <w:bCs/>
          <w:sz w:val="22"/>
          <w:szCs w:val="22"/>
        </w:rPr>
        <w:t>Agenzia delle entrate,</w:t>
      </w:r>
      <w:r w:rsidRPr="0084312D">
        <w:rPr>
          <w:rFonts w:ascii="Bookman Old Style" w:hAnsi="Bookman Old Style" w:cs="Helvetica"/>
          <w:sz w:val="22"/>
          <w:szCs w:val="22"/>
        </w:rPr>
        <w:t> </w:t>
      </w:r>
      <w:r w:rsidRPr="0084312D">
        <w:rPr>
          <w:rFonts w:ascii="Bookman Old Style" w:hAnsi="Bookman Old Style" w:cs="Helvetica"/>
          <w:bCs/>
          <w:sz w:val="22"/>
          <w:szCs w:val="22"/>
        </w:rPr>
        <w:t>risoluzione n. 7/E del 16 gennaio 2018</w:t>
      </w:r>
      <w:r w:rsidRPr="0084312D">
        <w:rPr>
          <w:rFonts w:ascii="Bookman Old Style" w:hAnsi="Bookman Old Style" w:cs="Helvetica"/>
          <w:sz w:val="22"/>
          <w:szCs w:val="22"/>
        </w:rPr>
        <w:t>)</w:t>
      </w:r>
    </w:p>
    <w:p w:rsidR="006649DC" w:rsidRPr="0084312D"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BD0F30">
      <w:pPr>
        <w:shd w:val="clear" w:color="auto" w:fill="FFFFFF"/>
        <w:jc w:val="both"/>
        <w:rPr>
          <w:rFonts w:ascii="Bookman Old Style" w:hAnsi="Bookman Old Style"/>
        </w:rPr>
      </w:pPr>
      <w:r w:rsidRPr="0084312D">
        <w:rPr>
          <w:rFonts w:ascii="Bookman Old Style" w:hAnsi="Bookman Old Style"/>
          <w:u w:val="single"/>
        </w:rPr>
        <w:t>Branch exemption: Il Fisco spiega come compilare le dichiarazioni 2017</w:t>
      </w:r>
      <w:r w:rsidRPr="0084312D">
        <w:rPr>
          <w:rFonts w:ascii="Bookman Old Style" w:hAnsi="Bookman Old Style"/>
        </w:rPr>
        <w:t xml:space="preserve"> </w:t>
      </w:r>
    </w:p>
    <w:p w:rsidR="006649DC" w:rsidRPr="0084312D" w:rsidRDefault="006649DC" w:rsidP="00BD0F30">
      <w:pPr>
        <w:shd w:val="clear" w:color="auto" w:fill="FFFFFF"/>
        <w:jc w:val="both"/>
        <w:rPr>
          <w:rFonts w:ascii="Bookman Old Style" w:hAnsi="Bookman Old Style"/>
        </w:rPr>
      </w:pPr>
      <w:r w:rsidRPr="0084312D">
        <w:rPr>
          <w:rFonts w:ascii="Bookman Old Style" w:hAnsi="Bookman Old Style"/>
        </w:rPr>
        <w:t xml:space="preserve">Regime della branch exemption: dall’Agenzia arrivano chiarimenti. Le precisazioni riguardano la corretta compilazione della dichiarazione dei redditi e dell’Irap nel caso di esercizio dell’opzione con efficacia dal periodo d’imposta 2016. L’Agenzia delle entrate, con la risoluzione n. 4/E del 15 gennaio 2018, fornisce alcune importanti precisazioni in materia di branch exemption con riferimento, in particolare, agli adempimenti dichiarativi conseguenti all’esercizio della relativa opzione a partire dal periodo d’imposta 2016. L’Agenzia delle Entrate fornisce chiarimenti sulle modalità di compilazione delle dichiarazioni dei redditi ed Irap 2017, relative al periodo d’imposta 2016, in modo da ottemperare agli obblighi informativi richiesti dalla normativa in materia di branch exemption. A tal fine, è possibile presentare, entro il 29 gennaio 2018, dichiarazioni integrative/sostitutive per adeguare le dichiarazioni presentate alle indicazioni dell’Agenzia dell’Entrate senza applicazione di sanzioni. </w:t>
      </w:r>
    </w:p>
    <w:p w:rsidR="006649DC" w:rsidRPr="0084312D" w:rsidRDefault="006649DC" w:rsidP="00BD0F30">
      <w:pPr>
        <w:shd w:val="clear" w:color="auto" w:fill="FFFFFF"/>
        <w:jc w:val="both"/>
        <w:rPr>
          <w:rFonts w:ascii="Bookman Old Style" w:hAnsi="Bookman Old Style"/>
        </w:rPr>
      </w:pPr>
      <w:r w:rsidRPr="0084312D">
        <w:rPr>
          <w:rFonts w:ascii="Bookman Old Style" w:hAnsi="Bookman Old Style"/>
        </w:rPr>
        <w:t xml:space="preserve">(Agenzia delle entrate, risoluzione n. 4/E del 15 gennaio 2018) </w:t>
      </w:r>
    </w:p>
    <w:p w:rsidR="006649DC" w:rsidRPr="0084312D" w:rsidRDefault="006649DC" w:rsidP="00BD0F30">
      <w:pPr>
        <w:shd w:val="clear" w:color="auto" w:fill="FFFFFF"/>
        <w:jc w:val="both"/>
        <w:rPr>
          <w:rFonts w:ascii="Bookman Old Style" w:hAnsi="Bookman Old Style"/>
        </w:rPr>
      </w:pPr>
    </w:p>
    <w:p w:rsidR="006649DC" w:rsidRPr="0084312D" w:rsidRDefault="006649DC" w:rsidP="00BD0F30">
      <w:pPr>
        <w:pStyle w:val="NormalWeb"/>
        <w:shd w:val="clear" w:color="auto" w:fill="FFFFFF"/>
        <w:spacing w:before="0" w:beforeAutospacing="0" w:after="0" w:afterAutospacing="0"/>
        <w:jc w:val="both"/>
        <w:rPr>
          <w:rStyle w:val="Strong"/>
          <w:rFonts w:ascii="Bookman Old Style" w:hAnsi="Bookman Old Style" w:cs="Helvetica"/>
          <w:b w:val="0"/>
          <w:bCs/>
          <w:sz w:val="22"/>
          <w:szCs w:val="22"/>
          <w:u w:val="single"/>
        </w:rPr>
      </w:pPr>
      <w:r w:rsidRPr="0084312D">
        <w:rPr>
          <w:rStyle w:val="Strong"/>
          <w:rFonts w:ascii="Bookman Old Style" w:hAnsi="Bookman Old Style" w:cs="Helvetica"/>
          <w:b w:val="0"/>
          <w:bCs/>
          <w:sz w:val="22"/>
          <w:szCs w:val="22"/>
          <w:u w:val="single"/>
        </w:rPr>
        <w:t>Eventi sismici nei territori delle Regioni Lazio, Marche, Umbria e Abruzzo: come utilizzare le agevolazioni</w:t>
      </w:r>
    </w:p>
    <w:p w:rsidR="006649DC" w:rsidRPr="0084312D"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Eventi sismici nei territori delle Regioni Lazio, Marche, Umbria e Abruzzo: l’INPS, con un messaggio spiega come utilizzare le agevolazioni previdenziali.</w:t>
      </w:r>
    </w:p>
    <w:p w:rsidR="006649DC" w:rsidRPr="0084312D"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Con riferimento ai territori colpiti dagli eventi sismici verificatisi nelle Regioni Lazio, Marche, Umbria e Abruzzo in data 24 agosto 2016, 26 e 30 ottobre 2016 e 18 gennaio 2017, l’art. 48, comma 13, del D.L. n. 189/2016, convertito con modificazioni dalla L. n. 229/2016 e ss.mm.ii., ha disposto la sospensione dei termini relativi agli adempimenti ed ai versamenti dei contributi previdenziali ed assistenziali e dei premi per l’assicurazione obbligatoria dalla data dell’evento calamitoso fino al 30 settembre 2017.</w:t>
      </w:r>
    </w:p>
    <w:p w:rsidR="006649DC" w:rsidRPr="0084312D"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Il medesimo art. 48, comma 13, come modificato dalle disposizioni del D.L. n. 148/2017, convertito con modificazioni dalla L. n. 172/2017, ha altresì fissato il termine per la ripresa degli adempimenti e dei versamenti sospesi – precedentemente previsto al 30 ottobre 2017 – alla data del 31 maggio 2018, in unica soluzione, o, in alternativa, in un massimo di 24 rate mensili di pari importo, a decorrere dal mese di maggio 2018 (cfr. Mess. n. 4080/2017).</w:t>
      </w:r>
    </w:p>
    <w:p w:rsidR="006649DC" w:rsidRPr="0084312D"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Pertanto, in considerazione dell’assetto normativo vigente, i soggetti destinatari delle previsioni concernenti la sospensione contributiva in trattazione, fatta salva istanza di rateizzazione, dovranno provvedere entro la data del 31 maggio 2018 al versamento in unica soluzione dei contributi sospesi.</w:t>
      </w:r>
    </w:p>
    <w:p w:rsidR="006649DC" w:rsidRPr="0084312D"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Ciò premesso, si richiamano le disposizioni di cui all’art. 46 del D.L. n. 50/2017, convertito con modificazioni dalla L. n. 96/2017, che hanno istituito la zona franca urbana per i Comuni del Centro Italia colpiti dagli eventi sismici di cui all’oggetto. In particolare, le suddette disposizioni hanno previsto in favore delle imprese che hanno la sede principale o l’unità locale all’interno della zona franca e che hanno subito a causa degli eventi sismici la riduzione del fatturato almeno pari al 25 per cento nei periodi 1° settembre – 31 dicembre 2016 (per i soggetti localizzati nei Comuni di cui agli allegati 1 e 2 del D.L. 189/2016) e dal 1° febbraio al 31 maggio 2017 (per i soggetti di cui all’allegato 2 bis del citato D.L. 189) alcune misure agevolative di natura fiscale, nonché l’esonero dal versamento dei contributi previdenziali e assistenziali, con esclusione dei premi per l’assicurazione obbligatoria infortunistica, a carico dei datori di lavoro, sulle retribuzioni da lavoro dipendente.</w:t>
      </w:r>
    </w:p>
    <w:p w:rsidR="006649DC" w:rsidRPr="0084312D"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Detto esonero spetta, alle medesime condizioni, anche ai titolari di reddito di lavoro autonomo che svolgono l’attività all’interno della zona franca urbana.</w:t>
      </w:r>
      <w:r w:rsidRPr="0084312D">
        <w:rPr>
          <w:rFonts w:ascii="Bookman Old Style" w:hAnsi="Bookman Old Style" w:cs="Helvetica"/>
          <w:sz w:val="22"/>
          <w:szCs w:val="22"/>
        </w:rPr>
        <w:br/>
        <w:t>Le predette agevolazioni sono riconosciute con esclusivo riferimento ai due periodi d’imposta ammissibili (2017 e 2018), sono concesse nei limiti delle risorse disponibili e soggette, per ciascun beneficiario, all’osservanza dei massimali “de minimis” previsti dai regolamenti UE n. 1407/2013 e n. 1408/2013.</w:t>
      </w:r>
    </w:p>
    <w:p w:rsidR="006649DC" w:rsidRPr="0084312D"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Le istruzioni per l’accesso alle agevolazioni fiscali e contributive in favore delle imprese localizzate nella zona franca urbana sono state emanate dal Ministero dello Sviluppo Economico, in qualità di autorità competente, con le circolari n. 99473/2017 e n. 114735/2017, con le quali sono stati definiti i termini e le modalità di presentazione delle relative istanze.</w:t>
      </w:r>
    </w:p>
    <w:p w:rsidR="006649DC" w:rsidRPr="0084312D"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Successivamente, con Decreto Direttoriale del 7 dicembre 2017, il citato Dicastero ha pubblicato gli elenchi dei beneficiari delle agevolazioni in argomento previste per la zona franca urbana fruibili, dalle imprese e dai datori di lavoro autonomi, secondo le modalità applicative stabilite con il decreto del MISE del 10 aprile 2013, ovverosia mediante riduzione dei versamenti da effettuarsi a mezzo modello F24.</w:t>
      </w:r>
    </w:p>
    <w:p w:rsidR="006649DC" w:rsidRPr="0084312D"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Pertanto, l’Agenzia delle Entrate con risoluzione n. 160/E del 21 dicembre 2017, al fine di consentire l’utilizzo in compensazione delle agevolazioni di cui si tratta, tramite modello F24 – da presentare esclusivamente attraverso i servizi telematici messi a disposizione dall’Agenzia medesima – ha provveduto ad istituire il nuovo codice tributo “Z148” avente il significato di “ZFU CENTRO ITALIA – Agevolazioni imprese per riduzione versamenti – art. 46 – d.l. n. 50/2017”. Il suddetto codice, in coerenza con le precisazioni contenute nella citata Risoluzione, dovrà essere esposto nella sezione “Erario” in corrispondenza delle somme indicate nella colonna “importi a credito compensati” oppure, nei casi in cui il contribuente debba procedere al riversamento dell’agevolazione, nella colonna “importi a debito versati”.</w:t>
      </w:r>
    </w:p>
    <w:p w:rsidR="006649DC" w:rsidRPr="0084312D"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Ciò segnalato in ordine alla agevolazioni contributive nella zona franca urbana regolamentate dal MISE e dall’Agenzia delle Entrate, si fa presente che l’Istituto, come di consueto, con congruo anticipo rispetto alla scadenza del termine previsto per la ripresa degli adempimenti e dei versamenti sospesi ai sensi dell’art. 48, comma 13, del D.L. n. 189/2016 e ss.mm.ii. (31 maggio 2018), fornirà le istruzioni operative per il corretto versamento della contribuzione con riferimento alle diverse Gestioni interessate dalla sospensione medesima.</w:t>
      </w:r>
    </w:p>
    <w:p w:rsidR="006649DC" w:rsidRPr="0084312D"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(INPS, Messaggio n. 115 del 11 gennaio 2018)</w:t>
      </w:r>
    </w:p>
    <w:p w:rsidR="006649DC" w:rsidRDefault="006649DC" w:rsidP="009E137C">
      <w:pPr>
        <w:pStyle w:val="Heading3"/>
        <w:rPr>
          <w:b/>
          <w:sz w:val="28"/>
          <w:szCs w:val="28"/>
          <w:u w:val="none"/>
        </w:rPr>
      </w:pPr>
    </w:p>
    <w:p w:rsidR="006649DC" w:rsidRPr="00EF447D" w:rsidRDefault="006649DC" w:rsidP="00EF447D"/>
    <w:p w:rsidR="006649DC" w:rsidRDefault="006649DC" w:rsidP="009E137C">
      <w:pPr>
        <w:pStyle w:val="Heading3"/>
        <w:rPr>
          <w:b/>
          <w:sz w:val="28"/>
          <w:szCs w:val="28"/>
          <w:u w:val="none"/>
        </w:rPr>
      </w:pPr>
    </w:p>
    <w:p w:rsidR="006649DC" w:rsidRDefault="006649DC" w:rsidP="009E137C">
      <w:pPr>
        <w:pStyle w:val="Heading3"/>
        <w:rPr>
          <w:b/>
          <w:sz w:val="28"/>
          <w:szCs w:val="28"/>
          <w:u w:val="none"/>
        </w:rPr>
      </w:pPr>
    </w:p>
    <w:p w:rsidR="006649DC" w:rsidRDefault="006649DC" w:rsidP="009E137C">
      <w:pPr>
        <w:pStyle w:val="Heading3"/>
        <w:rPr>
          <w:b/>
          <w:sz w:val="28"/>
          <w:szCs w:val="28"/>
          <w:u w:val="none"/>
        </w:rPr>
      </w:pPr>
      <w:bookmarkStart w:id="132" w:name="_Toc506559959"/>
      <w:r w:rsidRPr="003B1B09">
        <w:rPr>
          <w:b/>
          <w:sz w:val="28"/>
          <w:szCs w:val="28"/>
          <w:u w:val="none"/>
        </w:rPr>
        <w:t>ALTRE IMPOSTE INDIRETTE, IRAP e TRIBUTI LOCALI</w:t>
      </w:r>
      <w:bookmarkEnd w:id="131"/>
      <w:bookmarkEnd w:id="132"/>
    </w:p>
    <w:p w:rsidR="006649DC" w:rsidRPr="00BD0F30" w:rsidRDefault="006649DC" w:rsidP="00BD0F30">
      <w:pPr>
        <w:shd w:val="clear" w:color="auto" w:fill="FFFFFF"/>
        <w:jc w:val="both"/>
        <w:rPr>
          <w:rFonts w:ascii="Bookman Old Style" w:hAnsi="Bookman Old Style" w:cs="Helvetica"/>
          <w:sz w:val="22"/>
          <w:szCs w:val="22"/>
          <w:u w:val="single"/>
        </w:rPr>
      </w:pPr>
      <w:bookmarkStart w:id="133" w:name="_Toc448485280"/>
      <w:bookmarkStart w:id="134" w:name="_Toc448485404"/>
      <w:bookmarkStart w:id="135" w:name="_Toc448485543"/>
      <w:bookmarkStart w:id="136" w:name="_Toc448485671"/>
      <w:bookmarkStart w:id="137" w:name="_Toc448485795"/>
      <w:bookmarkStart w:id="138" w:name="_Toc448485898"/>
      <w:bookmarkStart w:id="139" w:name="_Toc448494601"/>
      <w:bookmarkEnd w:id="121"/>
      <w:bookmarkEnd w:id="122"/>
      <w:bookmarkEnd w:id="123"/>
      <w:bookmarkEnd w:id="124"/>
      <w:bookmarkEnd w:id="125"/>
      <w:bookmarkEnd w:id="126"/>
      <w:bookmarkEnd w:id="127"/>
      <w:r w:rsidRPr="00BD0F30">
        <w:rPr>
          <w:rFonts w:ascii="Bookman Old Style" w:hAnsi="Bookman Old Style" w:cs="Helvetica"/>
          <w:bCs/>
          <w:sz w:val="22"/>
          <w:szCs w:val="22"/>
          <w:u w:val="single"/>
        </w:rPr>
        <w:t>Contributo unificato Giustizia Amministrativa</w:t>
      </w:r>
    </w:p>
    <w:p w:rsidR="006649DC" w:rsidRPr="00BD0F30" w:rsidRDefault="006649DC" w:rsidP="00BD0F30">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Estensione dell’utilizzo del modello di pagamento F24 Enti pubblici ai codici tributo istituiti con le risoluzioni n. 123/E del 12 ottobre 2017 e n. 159/E del 21 dicembre 2017.</w:t>
      </w:r>
    </w:p>
    <w:p w:rsidR="006649DC" w:rsidRPr="00BD0F30" w:rsidRDefault="006649DC" w:rsidP="00BD0F30">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I codici tributo per il pagamento del contributo unificato dovuto per i ricorsi al giudice amministrativo e per i ricorsi straordinari al presidente della Repubblica o al presidente della Regione siciliana, ossia GA01, GA02, GA03, GA04 e GA05, istituiti con la risoluzione 123/2017 per il versamento spontaneo, e GA0T, GA0S, GA0Z, istituiti, invece, con la risoluzione 159/2017, per il versamento su “invito” degli uffici della giustizia amministrativa a mettersi in regola, possono essere utilizzati anche per il versamento tramite modello F24 Enti pubblici.</w:t>
      </w:r>
    </w:p>
    <w:p w:rsidR="006649DC" w:rsidRPr="00BD0F30" w:rsidRDefault="006649DC" w:rsidP="00BD0F30">
      <w:pPr>
        <w:shd w:val="clear" w:color="auto" w:fill="FFFFFF"/>
        <w:jc w:val="both"/>
        <w:rPr>
          <w:rFonts w:ascii="Bookman Old Style" w:hAnsi="Bookman Old Style" w:cs="Helvetica"/>
          <w:sz w:val="22"/>
          <w:szCs w:val="22"/>
        </w:rPr>
      </w:pPr>
      <w:r w:rsidRPr="00BD0F30">
        <w:rPr>
          <w:rFonts w:ascii="Bookman Old Style" w:hAnsi="Bookman Old Style" w:cs="Helvetica"/>
          <w:bCs/>
          <w:sz w:val="22"/>
          <w:szCs w:val="22"/>
        </w:rPr>
        <w:t>L’Agenzia delle entrate con la risoluzione 8/E del 25 gennaio 2018</w:t>
      </w:r>
      <w:r w:rsidRPr="00BD0F30">
        <w:rPr>
          <w:rFonts w:ascii="Bookman Old Style" w:hAnsi="Bookman Old Style" w:cs="Helvetica"/>
          <w:sz w:val="22"/>
          <w:szCs w:val="22"/>
        </w:rPr>
        <w:t>, infatti, prevede l’estensione dell’utilizzo dei suddetti codici, già stabiliti per il pagamento in modalità telematica tramite il modello F24 Elide (versamenti con elementi identificativi) anche per l’adempimento dovuto dagli enti pubblici.</w:t>
      </w:r>
    </w:p>
    <w:p w:rsidR="006649DC" w:rsidRPr="00BD0F30" w:rsidRDefault="006649DC" w:rsidP="00BD0F30">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In sede di compilazione del modello “F24 Ep”, i codici tributo sono esposti in corrispondenza delle somme indicate nella colonna “importi a debito versati”, riportando nella sezione “contribuente”, il codice fiscale e i dati anagrafici di chi che effettua il versamento e nella sezione “dettaglio versamento”:</w:t>
      </w:r>
    </w:p>
    <w:p w:rsidR="006649DC" w:rsidRPr="00BD0F30" w:rsidRDefault="006649DC" w:rsidP="00BD0F30">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-nel campo “codice ufficio”, il codice ufficio della Giustizia amministrativa competente (reperibile nella tabella allegata alla risoluzione 123/2017)</w:t>
      </w:r>
    </w:p>
    <w:p w:rsidR="006649DC" w:rsidRPr="00BD0F30" w:rsidRDefault="006649DC" w:rsidP="00BD0F30">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-nel campo “sezione”, la lettera “F” (Erario)</w:t>
      </w:r>
    </w:p>
    <w:p w:rsidR="006649DC" w:rsidRPr="00BD0F30" w:rsidRDefault="006649DC" w:rsidP="00BD0F30">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-nel campo “codice tributo/causale”, il codice tributo</w:t>
      </w:r>
    </w:p>
    <w:p w:rsidR="006649DC" w:rsidRPr="00BD0F30" w:rsidRDefault="006649DC" w:rsidP="00BD0F30">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-nel campo “codice”, nessun valore</w:t>
      </w:r>
    </w:p>
    <w:p w:rsidR="006649DC" w:rsidRPr="00BD0F30" w:rsidRDefault="006649DC" w:rsidP="00BD0F30">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-nel campo “estremi identificativi”, il codice fiscale o la partita Iva del ricorrente</w:t>
      </w:r>
    </w:p>
    <w:p w:rsidR="006649DC" w:rsidRPr="00BD0F30" w:rsidRDefault="006649DC" w:rsidP="00BD0F30">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-nel campo “riferimento A”, nessun valore</w:t>
      </w:r>
    </w:p>
    <w:p w:rsidR="006649DC" w:rsidRPr="00BD0F30" w:rsidRDefault="006649DC" w:rsidP="00BD0F30">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-nel campo “riferimento B”, l’anno a cui si riferisce il versamento, nel formato “aaaa”.</w:t>
      </w:r>
    </w:p>
    <w:p w:rsidR="006649DC" w:rsidRPr="00BD0F30" w:rsidRDefault="006649DC" w:rsidP="00BD0F30">
      <w:pPr>
        <w:shd w:val="clear" w:color="auto" w:fill="FFFFFF"/>
        <w:jc w:val="both"/>
        <w:rPr>
          <w:rFonts w:ascii="Bookman Old Style" w:hAnsi="Bookman Old Style" w:cs="Helvetica"/>
          <w:sz w:val="22"/>
          <w:szCs w:val="22"/>
        </w:rPr>
      </w:pPr>
      <w:r w:rsidRPr="00BD0F30">
        <w:rPr>
          <w:rFonts w:ascii="Bookman Old Style" w:hAnsi="Bookman Old Style" w:cs="Helvetica"/>
          <w:bCs/>
          <w:sz w:val="22"/>
          <w:szCs w:val="22"/>
        </w:rPr>
        <w:t>(Agenzia delle entrate, risoluzione n. 8/E del 25 gennaio 2018)</w:t>
      </w:r>
    </w:p>
    <w:p w:rsidR="006649DC" w:rsidRPr="00BD0F30" w:rsidRDefault="006649DC" w:rsidP="00BD0F30">
      <w:pPr>
        <w:shd w:val="clear" w:color="auto" w:fill="FFFFFF"/>
        <w:jc w:val="both"/>
        <w:rPr>
          <w:rFonts w:ascii="Bookman Old Style" w:hAnsi="Bookman Old Style" w:cs="Helvetica"/>
          <w:sz w:val="22"/>
          <w:szCs w:val="22"/>
        </w:rPr>
      </w:pP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u w:val="single"/>
        </w:rPr>
      </w:pPr>
      <w:r w:rsidRPr="00BD0F30">
        <w:rPr>
          <w:rFonts w:ascii="Bookman Old Style" w:hAnsi="Bookman Old Style" w:cs="Helvetica"/>
          <w:sz w:val="22"/>
          <w:szCs w:val="22"/>
          <w:u w:val="single"/>
        </w:rPr>
        <w:t>Contributo annuale 2018</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L’importo del contributo annuale di iscrizione per l’anno 2018, determinato dal decreto del Ministro dell’economia e delle finanze del 5 dicembre 2016, è pari ad euro 26,85, da versare in un’unica soluzione entro il 31 gennaio 2018. Il pagamento potrà essere effettuato utilizzando i servizi del sistema pagoPA®, tramite gli strumenti di pagamento elettronico resi disponibili dalla piattaforma, direttamente dal sito web della revisione legale o presso gli intermediari autorizzati.</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Nei prossimi giorni saranno recapitati, all’indirizzo PEC comunicato da ciascun iscritto al Registro dei revisori legali, appositi avvisi per il pagamento del contributo. Per ulteriori informazioni sulle modalità di pagamento, è possibile visitare la sezione “Contributi Annuali”. Si ricorda, infine, l’obbligo di accreditamento all’Area riservata nella quale è possibile, tra l’altro, consultare lo stato dei pagamenti pregressi, scaricare copia dell’avviso di pagamento ed aggiornare i propri dati anagrafici e di contatto, incluso l’indirizzo di Posta Elettronica Certificata (PEC) che ciascun iscritto è tenuto a comunicare in attuazione dell’articolo 27, comma 2, del decreto legislativo 17 luglio 2016, n. 135.</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bCs/>
          <w:sz w:val="22"/>
          <w:szCs w:val="22"/>
        </w:rPr>
        <w:t>(MEF, area revisione legale, nota del 10 gennaio 2018)</w:t>
      </w:r>
    </w:p>
    <w:p w:rsidR="006649DC" w:rsidRDefault="006649DC" w:rsidP="0087761C">
      <w:pPr>
        <w:pStyle w:val="Heading3"/>
        <w:rPr>
          <w:b/>
          <w:sz w:val="28"/>
          <w:szCs w:val="28"/>
          <w:u w:val="none"/>
        </w:rPr>
      </w:pPr>
    </w:p>
    <w:p w:rsidR="006649DC" w:rsidRDefault="006649DC" w:rsidP="0087761C">
      <w:pPr>
        <w:pStyle w:val="Heading3"/>
        <w:rPr>
          <w:b/>
          <w:sz w:val="28"/>
          <w:szCs w:val="28"/>
          <w:u w:val="none"/>
        </w:rPr>
      </w:pPr>
    </w:p>
    <w:p w:rsidR="006649DC" w:rsidRDefault="006649DC" w:rsidP="0087761C">
      <w:pPr>
        <w:pStyle w:val="Heading3"/>
        <w:rPr>
          <w:b/>
          <w:sz w:val="28"/>
          <w:szCs w:val="28"/>
          <w:u w:val="none"/>
        </w:rPr>
      </w:pPr>
    </w:p>
    <w:p w:rsidR="006649DC" w:rsidRDefault="006649DC" w:rsidP="0087761C">
      <w:pPr>
        <w:pStyle w:val="Heading3"/>
        <w:rPr>
          <w:b/>
          <w:sz w:val="28"/>
          <w:szCs w:val="28"/>
          <w:u w:val="none"/>
        </w:rPr>
      </w:pPr>
    </w:p>
    <w:p w:rsidR="006649DC" w:rsidRPr="0087761C" w:rsidRDefault="006649DC" w:rsidP="0087761C">
      <w:pPr>
        <w:pStyle w:val="Heading3"/>
        <w:rPr>
          <w:b/>
          <w:sz w:val="28"/>
          <w:szCs w:val="28"/>
          <w:u w:val="none"/>
        </w:rPr>
      </w:pPr>
      <w:bookmarkStart w:id="140" w:name="_Toc506559960"/>
      <w:r w:rsidRPr="003B1B09">
        <w:rPr>
          <w:b/>
          <w:sz w:val="28"/>
          <w:szCs w:val="28"/>
          <w:u w:val="none"/>
        </w:rPr>
        <w:t>ACCERTAMENTO / RISCOSSIONE / CONTENZIOSO</w:t>
      </w:r>
      <w:bookmarkEnd w:id="133"/>
      <w:bookmarkEnd w:id="134"/>
      <w:bookmarkEnd w:id="135"/>
      <w:bookmarkEnd w:id="136"/>
      <w:bookmarkEnd w:id="137"/>
      <w:bookmarkEnd w:id="138"/>
      <w:bookmarkEnd w:id="139"/>
      <w:bookmarkEnd w:id="140"/>
    </w:p>
    <w:p w:rsidR="006649DC" w:rsidRPr="00BD0F30" w:rsidRDefault="006649DC" w:rsidP="00BD0F30">
      <w:pPr>
        <w:shd w:val="clear" w:color="auto" w:fill="FFFFFF"/>
        <w:jc w:val="both"/>
        <w:rPr>
          <w:rFonts w:ascii="Bookman Old Style" w:hAnsi="Bookman Old Style" w:cs="Helvetica"/>
          <w:sz w:val="22"/>
          <w:szCs w:val="22"/>
          <w:u w:val="single"/>
        </w:rPr>
      </w:pPr>
      <w:r w:rsidRPr="00BD0F30">
        <w:rPr>
          <w:rFonts w:ascii="Bookman Old Style" w:hAnsi="Bookman Old Style" w:cs="Helvetica"/>
          <w:bCs/>
          <w:sz w:val="22"/>
          <w:szCs w:val="22"/>
          <w:u w:val="single"/>
        </w:rPr>
        <w:t>Responsabilità da reato degli enti con sede all’estero</w:t>
      </w:r>
    </w:p>
    <w:p w:rsidR="006649DC" w:rsidRPr="00BD0F30" w:rsidRDefault="006649DC" w:rsidP="00BD0F30">
      <w:pPr>
        <w:shd w:val="clear" w:color="auto" w:fill="FFFFFF"/>
        <w:jc w:val="both"/>
        <w:rPr>
          <w:rFonts w:ascii="Bookman Old Style" w:hAnsi="Bookman Old Style" w:cs="Helvetica"/>
          <w:sz w:val="22"/>
          <w:szCs w:val="22"/>
        </w:rPr>
      </w:pPr>
      <w:r w:rsidRPr="00BD0F30">
        <w:rPr>
          <w:sz w:val="22"/>
          <w:szCs w:val="22"/>
        </w:rPr>
        <w:t>​</w:t>
      </w:r>
      <w:r w:rsidRPr="00BD0F30">
        <w:rPr>
          <w:rFonts w:ascii="Bookman Old Style" w:hAnsi="Bookman Old Style" w:cs="Helvetica"/>
          <w:sz w:val="22"/>
          <w:szCs w:val="22"/>
        </w:rPr>
        <w:t>Assonime, con Il </w:t>
      </w:r>
      <w:r w:rsidRPr="00BD0F30">
        <w:rPr>
          <w:rFonts w:ascii="Bookman Old Style" w:hAnsi="Bookman Old Style" w:cs="Helvetica"/>
          <w:bCs/>
          <w:sz w:val="22"/>
          <w:szCs w:val="22"/>
        </w:rPr>
        <w:t>Caso 2/2018</w:t>
      </w:r>
      <w:r w:rsidRPr="00BD0F30">
        <w:rPr>
          <w:rFonts w:ascii="Bookman Old Style" w:hAnsi="Bookman Old Style" w:cs="Helvetica"/>
          <w:sz w:val="22"/>
          <w:szCs w:val="22"/>
        </w:rPr>
        <w:t> si sofferma sulla responsabilità da reato degli enti con sede all’estero: Il Tribunale di Lucca, con sentenza del 31 luglio 2017 n. 222, aderendo alla tesi condivisa dalla giurisprudenza maggioritaria, ha affermato che le società estere operanti sul territorio italiano hanno l’obbligo di rispettare le norme vigenti in Italia, con la conseguenza che il D.Lgs. 231/2001 si applica anche agli enti stranieri, a prescindere dalla presenza sul territorio nazionale di una sede secondaria o di uno stabilimento. Con queste argomentazioni, il Tribunale ha quindi affermato la responsabilità di alcune società estere per l’illecito amministrativo previsto dall’art. 25 septies D.Lgs. 231/2001 (omicidio colposo e lesioni gravi o gravissime con violazione delle norme sulla tutela della salute e sicurezza sul lavoro) che non avevano adottato alcun Modello Organizzativo, ma solo codici di condotta o manuali della qualità. Come si legge nella stessa sentenza, il cuore della questione “attiene ad una serie di profili connessi all’applicazione della legge penale nello spazio e ai connessi criteri di radicamento della giurisdizione”.</w:t>
      </w:r>
    </w:p>
    <w:p w:rsidR="006649DC" w:rsidRPr="00BD0F30" w:rsidRDefault="006649DC" w:rsidP="00BD0F30">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La questione, in particolare, risolta affermativamente dal tribunale di Lucca, è se sia possibile assoggettare alla nostra giurisdizione società che in Italia non hanno alcuna sede, principale o secondaria.</w:t>
      </w:r>
    </w:p>
    <w:p w:rsidR="006649DC" w:rsidRPr="00BD0F30" w:rsidRDefault="006649DC" w:rsidP="00BD0F30">
      <w:pPr>
        <w:shd w:val="clear" w:color="auto" w:fill="FFFFFF"/>
        <w:jc w:val="both"/>
        <w:rPr>
          <w:rFonts w:ascii="Bookman Old Style" w:hAnsi="Bookman Old Style" w:cs="Helvetica"/>
          <w:i/>
          <w:sz w:val="22"/>
          <w:szCs w:val="22"/>
        </w:rPr>
      </w:pPr>
    </w:p>
    <w:p w:rsidR="006649DC" w:rsidRPr="00BD0F30" w:rsidRDefault="006649DC" w:rsidP="00BD0F30">
      <w:pPr>
        <w:shd w:val="clear" w:color="auto" w:fill="FFFFFF"/>
        <w:jc w:val="both"/>
        <w:rPr>
          <w:rFonts w:ascii="Bookman Old Style" w:hAnsi="Bookman Old Style" w:cs="Helvetica"/>
          <w:i/>
          <w:sz w:val="22"/>
          <w:szCs w:val="22"/>
        </w:rPr>
      </w:pPr>
      <w:r w:rsidRPr="00BD0F30">
        <w:rPr>
          <w:rFonts w:ascii="Bookman Old Style" w:hAnsi="Bookman Old Style" w:cs="Helvetica"/>
          <w:bCs/>
          <w:i/>
          <w:sz w:val="22"/>
          <w:szCs w:val="22"/>
        </w:rPr>
        <w:t>Nuovo regolamento Consob sulle informazioni non finanziarie</w:t>
      </w:r>
    </w:p>
    <w:p w:rsidR="006649DC" w:rsidRPr="00BD0F30" w:rsidRDefault="006649DC" w:rsidP="00BD0F30">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Il decreto legislativo 30 dicembre 2016, n. 254, nel dettare un’articolata disciplina sulla redazione e comunicazione delle informazioni di carattere non finanziario (in attuazione della direttiva comunitaria 2014/95/UE), ha attribuito alla Consob il potere di stabilire con un apposito regolamento:</w:t>
      </w:r>
    </w:p>
    <w:p w:rsidR="006649DC" w:rsidRPr="00BD0F30" w:rsidRDefault="006649DC" w:rsidP="00BD0F30">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le modalità di trasmissione diretta alla Consob della dichiarazione di carattere non finanziario;</w:t>
      </w:r>
    </w:p>
    <w:p w:rsidR="006649DC" w:rsidRPr="00BD0F30" w:rsidRDefault="006649DC" w:rsidP="00BD0F30">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le eventuali modalità di pubblicazione della dichiarazione di carattere non finanziario, ulteriori rispetto al deposito presso il Registro imprese;</w:t>
      </w:r>
    </w:p>
    <w:p w:rsidR="006649DC" w:rsidRPr="00BD0F30" w:rsidRDefault="006649DC" w:rsidP="00BD0F30">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le modalità e i termini per il controllo della Consob;</w:t>
      </w:r>
    </w:p>
    <w:p w:rsidR="006649DC" w:rsidRPr="00BD0F30" w:rsidRDefault="006649DC" w:rsidP="00BD0F30">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i principi di comportamento e le modalità di svolgimento dell’incarico di verifica della conformità delle informazioni da parte dei revisori.</w:t>
      </w:r>
    </w:p>
    <w:p w:rsidR="006649DC" w:rsidRPr="00BD0F30" w:rsidRDefault="006649DC" w:rsidP="00BD0F30">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Il 19 gennaio 2018 con la delibera n. 20267 la Consob ha approvato il predetto Regolamento di attuazione.</w:t>
      </w:r>
    </w:p>
    <w:p w:rsidR="006649DC" w:rsidRPr="00BD0F30" w:rsidRDefault="006649DC" w:rsidP="00BD0F30">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Si completa così il quadro normativo primario e secondario relativo alle informazioni non finanziarie.</w:t>
      </w:r>
    </w:p>
    <w:p w:rsidR="006649DC" w:rsidRPr="00BD0F30" w:rsidRDefault="006649DC" w:rsidP="00BD0F30">
      <w:pPr>
        <w:shd w:val="clear" w:color="auto" w:fill="FFFFFF"/>
        <w:jc w:val="both"/>
        <w:rPr>
          <w:rFonts w:ascii="Bookman Old Style" w:hAnsi="Bookman Old Style" w:cs="Helvetica"/>
          <w:i/>
          <w:sz w:val="22"/>
          <w:szCs w:val="22"/>
        </w:rPr>
      </w:pPr>
    </w:p>
    <w:p w:rsidR="006649DC" w:rsidRPr="00BD0F30" w:rsidRDefault="006649DC" w:rsidP="00BD0F30">
      <w:pPr>
        <w:shd w:val="clear" w:color="auto" w:fill="FFFFFF"/>
        <w:jc w:val="both"/>
        <w:rPr>
          <w:rFonts w:ascii="Bookman Old Style" w:hAnsi="Bookman Old Style" w:cs="Helvetica"/>
          <w:i/>
          <w:sz w:val="22"/>
          <w:szCs w:val="22"/>
        </w:rPr>
      </w:pPr>
      <w:r w:rsidRPr="00BD0F30">
        <w:rPr>
          <w:rFonts w:ascii="Bookman Old Style" w:hAnsi="Bookman Old Style" w:cs="Helvetica"/>
          <w:bCs/>
          <w:i/>
          <w:sz w:val="22"/>
          <w:szCs w:val="22"/>
        </w:rPr>
        <w:t>Riduzione del contributo a carico delle imprese destinato al finanziamento dell’AGCM</w:t>
      </w:r>
    </w:p>
    <w:p w:rsidR="006649DC" w:rsidRPr="00BD0F30" w:rsidRDefault="006649DC" w:rsidP="00BD0F30">
      <w:pPr>
        <w:shd w:val="clear" w:color="auto" w:fill="FFFFFF"/>
        <w:jc w:val="both"/>
        <w:rPr>
          <w:rFonts w:ascii="Bookman Old Style" w:hAnsi="Bookman Old Style" w:cs="Helvetica"/>
          <w:sz w:val="22"/>
          <w:szCs w:val="22"/>
        </w:rPr>
      </w:pPr>
      <w:r w:rsidRPr="00BD0F30">
        <w:rPr>
          <w:sz w:val="22"/>
          <w:szCs w:val="22"/>
        </w:rPr>
        <w:t>​</w:t>
      </w:r>
      <w:r w:rsidRPr="00BD0F30">
        <w:rPr>
          <w:rFonts w:ascii="Bookman Old Style" w:hAnsi="Bookman Old Style" w:cs="Helvetica"/>
          <w:sz w:val="22"/>
          <w:szCs w:val="22"/>
        </w:rPr>
        <w:t>Con il provvedimento n. 26922 del 10 gennaio scorso (in Bollettino AGCM n. 2 del 22 gennaio 2018) l’Autorità garante della concorrenza e del mercato ha disposto una riduzione del contributo a carico delle imprese destinato a finanziare la sua attività, ai sensi dell’articolo 10, commi 7-ter e 7-quater, della legge n. 287/1990.</w:t>
      </w:r>
    </w:p>
    <w:p w:rsidR="006649DC" w:rsidRPr="00BD0F30" w:rsidRDefault="006649DC" w:rsidP="00BD0F30">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Ricordiamo che tale contributo deve essere versato entro il 31 luglio di ogni anno dalle società di capitale con ricavi totali superiori a 50 milioni di euro. Il decreto legge n. 1/2012, che ha istituito il contributo, stabilisce che esso abbia un importo pari allo 0,08 per mille del fatturato risultante dall’ultimo bilancio e che la soglia di contribuzione a carico di ciascuna impresa non possa essere superiore a cento volte la misura minima. All’Autorità è attribuito il potere di disporre variazioni dell’aliquota entro il limite massimo dello 0,5 per mille.</w:t>
      </w:r>
    </w:p>
    <w:p w:rsidR="006649DC" w:rsidRPr="00BD0F30" w:rsidRDefault="006649DC" w:rsidP="00BD0F30">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A partire dal 2014 l’Autorità ha ridotto l’entità del contributo dapprima allo 0,06 per mille del fatturato e, per il 2017, allo 0,059 per mille, adottando nel contempo efficaci iniziative di spending review.</w:t>
      </w:r>
    </w:p>
    <w:p w:rsidR="006649DC" w:rsidRPr="00BD0F30" w:rsidRDefault="006649DC" w:rsidP="00BD0F30">
      <w:pPr>
        <w:shd w:val="clear" w:color="auto" w:fill="FFFFFF"/>
        <w:jc w:val="both"/>
        <w:rPr>
          <w:rFonts w:ascii="Bookman Old Style" w:hAnsi="Bookman Old Style" w:cs="Helvetica"/>
          <w:sz w:val="22"/>
          <w:szCs w:val="22"/>
        </w:rPr>
      </w:pPr>
      <w:r w:rsidRPr="00BD0F30">
        <w:rPr>
          <w:rFonts w:ascii="Bookman Old Style" w:hAnsi="Bookman Old Style" w:cs="Helvetica"/>
          <w:sz w:val="22"/>
          <w:szCs w:val="22"/>
        </w:rPr>
        <w:t>Per il 2018, anche tenuto conto del risparmio di spesa connesso al passaggio dalla locazione dell’immobile in cui ha sede l’Autorità alla concessione permanente gratuita da parte dello Stato divenutone proprietario, l’Autorità ha fissato la misura del contributo allo 0,055 per mille del fatturato. In sostanza, quindi, il contributo a carico degli operatori sarà di importo compreso tra 2.750 euro (per società con ricavi pari a cinquanta milioni di euro) e 275.000 euro (per le imprese con ricavi maggiori o uguali a cinque miliardi di euro).</w:t>
      </w:r>
    </w:p>
    <w:p w:rsidR="006649DC" w:rsidRPr="00BD0F30" w:rsidRDefault="006649DC" w:rsidP="00BD0F30">
      <w:pPr>
        <w:shd w:val="clear" w:color="auto" w:fill="FFFFFF"/>
        <w:jc w:val="both"/>
        <w:rPr>
          <w:rFonts w:ascii="Bookman Old Style" w:hAnsi="Bookman Old Style" w:cs="Helvetica"/>
          <w:sz w:val="22"/>
          <w:szCs w:val="22"/>
        </w:rPr>
      </w:pPr>
      <w:r w:rsidRPr="00BD0F30">
        <w:rPr>
          <w:rFonts w:ascii="Bookman Old Style" w:hAnsi="Bookman Old Style" w:cs="Helvetica"/>
          <w:bCs/>
          <w:sz w:val="22"/>
          <w:szCs w:val="22"/>
        </w:rPr>
        <w:t>(Assonime, nota del 25 gennaio 2018)</w:t>
      </w:r>
    </w:p>
    <w:p w:rsidR="006649DC" w:rsidRPr="00BD0F30" w:rsidRDefault="006649DC" w:rsidP="00BD0F30">
      <w:pPr>
        <w:shd w:val="clear" w:color="auto" w:fill="FFFFFF"/>
        <w:jc w:val="both"/>
        <w:rPr>
          <w:rFonts w:ascii="Bookman Old Style" w:hAnsi="Bookman Old Style" w:cs="Helvetica"/>
          <w:sz w:val="22"/>
          <w:szCs w:val="22"/>
        </w:rPr>
      </w:pP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u w:val="single"/>
        </w:rPr>
      </w:pPr>
      <w:r w:rsidRPr="00BD0F30">
        <w:rPr>
          <w:rFonts w:ascii="Bookman Old Style" w:hAnsi="Bookman Old Style" w:cs="Helvetica"/>
          <w:bCs/>
          <w:sz w:val="22"/>
          <w:szCs w:val="22"/>
          <w:u w:val="single"/>
        </w:rPr>
        <w:t>Fisco: al via spesometro light, slitta termine 28 febbraio Provvedimento Ruffini, online bozza semplificata</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È online sul sito di Agenzia delle entrate la bozza del provvedimento che illustra le regole tecniche semplificate per la trasmissione telematica dei dati delle fatture emesse e ricevute e delle eventuali successive variazioni. La bozza recepisce le novità introdotte dal decreto-legge n. 148 del 2017 finalizzate a semplificare il set informativo da trasmettere, ad esempio prevedendo una comunicazione cumulativa per le fatture di importo inferiore a 300 euro. Per consentire agli operatori di prendere visione delle nuove indicazioni, la scadenza dell’invio dei dati relativi alle fatture del secondo semestre 2017 viene spostata al sessantesimo giorno successivo alla pubblicazione del provvedimento definitivo.</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BD0F30">
        <w:rPr>
          <w:rFonts w:ascii="Bookman Old Style" w:hAnsi="Bookman Old Style" w:cs="Helvetica"/>
          <w:bCs/>
          <w:i/>
          <w:sz w:val="22"/>
          <w:szCs w:val="22"/>
        </w:rPr>
        <w:t>Meno dati e possibilità di comunicare il documento riepilogativo delle fatture di importo inferiore a 300 euro</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Sarà facoltativo compilare i dati anagrafici di dettaglio delle controparti e sarà possibile comunicare solo i dati del documento riepilogativo registrato, anziché i dati dei singoli documenti, per le fatture emesse e ricevute di importo inferiore a 300 euro. I contribuenti che hanno utilizzato un software di mercato per la predisposizione della comunicazione del primo semestre 2017 e non intendono modificarlo, potranno continuare a compilare la comunicazione secondo le previgenti regole tecniche (retro-compatibilità). Le nuove semplificazioni potranno essere utilizzate anche per inviare le comunicazioni integrative di quelle errate riferite al primo semestre 2017.</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BD0F30">
        <w:rPr>
          <w:rFonts w:ascii="Bookman Old Style" w:hAnsi="Bookman Old Style" w:cs="Helvetica"/>
          <w:bCs/>
          <w:i/>
          <w:sz w:val="22"/>
          <w:szCs w:val="22"/>
        </w:rPr>
        <w:t>Due nuovi software di controllo e di compilazione</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Per semplificare l’adempimento e limitare gli scarti delle comunicazioni dovuti a errori nella fase di compilazione, saranno pubblicati sul sito dell’Agenzia, congiuntamente al provvedimento definitivo, anche due pacchetti software gratuiti per il controllo dei file delle comunicazioni e per la loro predisposizione. Strumenti che si aggiungeranno ai servizi già disponibili nel portale “Fatture e Corrispettivi” del sito internet di Agenzia.</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BD0F30">
        <w:rPr>
          <w:rFonts w:ascii="Bookman Old Style" w:hAnsi="Bookman Old Style" w:cs="Helvetica"/>
          <w:bCs/>
          <w:i/>
          <w:sz w:val="22"/>
          <w:szCs w:val="22"/>
        </w:rPr>
        <w:t>Nuove scadenze ok anche per l’invio telematico dei dati fattura</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Secondo quanto previsto dalla bozza, i termini per l’invio della comunicazione vengono allineati a quelli della comunicazione obbligatoria. Anche chi esercita l’opzione, infatti, potrà decidere se inviare con cadenza trimestrale o semestrale le comunicazioni delle fatture riferite alle operazioni del 2018.</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bCs/>
          <w:i/>
          <w:sz w:val="22"/>
          <w:szCs w:val="22"/>
        </w:rPr>
        <w:t>Più tempo per inviare i dati delle fatture del secondo semestre 2017</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Per consentire agli operatori un periodo di consultazione delle nuove regole e per garantire il rispetto delle norme dello Statuto del contribuente la scadenza del 28 febbraio per la comunicazione dei dati delle fatture del secondo semestre 2017 viene spostata al sessantesimo giorno successivo alla data di pubblicazione del provvedimento definitivo.</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bCs/>
          <w:sz w:val="22"/>
          <w:szCs w:val="22"/>
        </w:rPr>
      </w:pPr>
      <w:r w:rsidRPr="00BD0F30">
        <w:rPr>
          <w:rFonts w:ascii="Bookman Old Style" w:hAnsi="Bookman Old Style" w:cs="Helvetica"/>
          <w:bCs/>
          <w:sz w:val="22"/>
          <w:szCs w:val="22"/>
        </w:rPr>
        <w:t>(Agenzia delle entrate, comunicato n. 3 del 19 gennaio 2018)</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BD0F30" w:rsidRDefault="006649DC" w:rsidP="00BD0F30">
      <w:pPr>
        <w:pStyle w:val="NormalWeb"/>
        <w:shd w:val="clear" w:color="auto" w:fill="FFFFFF"/>
        <w:spacing w:before="0" w:beforeAutospacing="0" w:after="0" w:afterAutospacing="0"/>
        <w:jc w:val="both"/>
        <w:rPr>
          <w:rStyle w:val="Strong"/>
          <w:rFonts w:ascii="Bookman Old Style" w:hAnsi="Bookman Old Style" w:cs="Helvetica"/>
          <w:b w:val="0"/>
          <w:bCs/>
          <w:sz w:val="22"/>
          <w:szCs w:val="22"/>
          <w:u w:val="single"/>
        </w:rPr>
      </w:pPr>
      <w:r w:rsidRPr="00BD0F30">
        <w:rPr>
          <w:rStyle w:val="Strong"/>
          <w:rFonts w:ascii="Bookman Old Style" w:hAnsi="Bookman Old Style" w:cs="Helvetica"/>
          <w:b w:val="0"/>
          <w:bCs/>
          <w:sz w:val="22"/>
          <w:szCs w:val="22"/>
          <w:u w:val="single"/>
        </w:rPr>
        <w:t>Definizione agevolata dei crediti affidati all’esattore: Durc on line</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L’INPS, con proprio documento di prassi (messaggio n. 142/2018), interviene sul contenuto dell’articolo 1 del decreto legge 16 ottobre 2017, n. 148, convertito con modificazioni dalla legge 4 dicembre 2017, n. 172. </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Il suddetto articolo 1, rubricato “Estensione della definizione agevolata dei carichi”, ha introdotto alcune novità in merito alla possibilità di accesso alla definizione agevolata delle cartelle di pagamento e degli avvisi di addebito già disciplinata dall’articolo 6 del decreto legge 22 ottobre 2016, n. 193, convertito, con modificazioni, dalla legge 1 dicembre 2016, n. 225.</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Il nuovo quadro normativo venutosi a determinare prevede per i contribuenti la possibilità di:</w:t>
      </w:r>
      <w:r w:rsidRPr="00BD0F30">
        <w:rPr>
          <w:rFonts w:ascii="Bookman Old Style" w:hAnsi="Bookman Old Style" w:cs="Helvetica"/>
          <w:sz w:val="22"/>
          <w:szCs w:val="22"/>
        </w:rPr>
        <w:br/>
        <w:t>a) pagare le rate in scadenza a luglio, settembre e novembre 2017, come stabilite dall’articolo 6, comma 3, lettera a), del decreto legge n. 193/2016, entro il 7 dicembre 2017, senza decadere dai benefici della stessa definizione (art. 1, comma 1);</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b) accedere ai benefici della definizione agevolata per i carichi affidati all’Agente della Riscossione dal 2000 al 2016 che non siano già stati oggetto di dichiarazioni rese ai sensi dell’articolo 6, comma 2, del citato decreto legge n. 193/2016 (art. 1, comma 4, lett. a), n.1);</w:t>
      </w:r>
      <w:r w:rsidRPr="00BD0F30">
        <w:rPr>
          <w:rFonts w:ascii="Bookman Old Style" w:hAnsi="Bookman Old Style" w:cs="Helvetica"/>
          <w:sz w:val="22"/>
          <w:szCs w:val="22"/>
        </w:rPr>
        <w:br/>
        <w:t>c) accedere alla definizione agevolata per i carichi compresi in piani di dilazione in essere alla data del 24 ottobre 2016, non ammessi alla precedente definizione perché non in regola con i pagamenti al 31 dicembre 2016 (art. 1, comma 4, lett. a), n. 2);</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d) di accedere ai benefici della definizione agevolata per i carichi affidati all’Agente della Riscossione dal 1° gennaio 2017 al 30 settembre 2017 (art. 1, comma 4, lett. b).</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i/>
          <w:sz w:val="22"/>
          <w:szCs w:val="22"/>
        </w:rPr>
      </w:pPr>
      <w:r w:rsidRPr="00BD0F30">
        <w:rPr>
          <w:rFonts w:ascii="Bookman Old Style" w:hAnsi="Bookman Old Style" w:cs="Helvetica"/>
          <w:i/>
          <w:sz w:val="22"/>
          <w:szCs w:val="22"/>
        </w:rPr>
        <w:t>Proroga dei termini ai sensi dell’articolo 1, comma 1.</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L’articolo 1, comma 1, del decreto in oggetto, per i contribuenti che non avevano pagato, in tutto o in parte, le rate scadute a luglio e settembre 2017, ha consentito ai medesimi di potere rientrare nei benefici previsti dalla definizione agevolata pagando le predette rate in un’unica soluzione entro il 7 dicembre 2017.</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Una volta saldate le rate scadute ed effettuato il versamento dell’eventuale terza rata entro la predetta data, il contribuente è tenuto a rispettare le successive scadenze di pagamento fissate nel piano comunicato dall’Agente.</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La predetta possibilità ha ricompreso anche le posizioni dei contribuenti che abbiano pagato in ritardo le rate di luglio e settembre 2017.</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i/>
          <w:sz w:val="22"/>
          <w:szCs w:val="22"/>
        </w:rPr>
      </w:pP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i/>
          <w:sz w:val="22"/>
          <w:szCs w:val="22"/>
        </w:rPr>
      </w:pPr>
      <w:r w:rsidRPr="00BD0F30">
        <w:rPr>
          <w:rFonts w:ascii="Bookman Old Style" w:hAnsi="Bookman Old Style" w:cs="Helvetica"/>
          <w:i/>
          <w:sz w:val="22"/>
          <w:szCs w:val="22"/>
        </w:rPr>
        <w:t>Estensione della definizione agevolata ai sensi dell’articolo 1, comma 4, lett. a) e b)</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L’articolo 1, comma 4, del decreto in trattazione riguarda:</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i carichi affidati all’Agente della Riscossione dal 2000 al 2016 che non siano già stati oggetto di dichiarazioni rese ai sensi dell’articolo 6, comma 2, del decreto legge n. 193/2016;</w:t>
      </w:r>
      <w:r w:rsidRPr="00BD0F30">
        <w:rPr>
          <w:rFonts w:ascii="Bookman Old Style" w:hAnsi="Bookman Old Style" w:cs="Helvetica"/>
          <w:sz w:val="22"/>
          <w:szCs w:val="22"/>
        </w:rPr>
        <w:br/>
        <w:t>– i carichi compresi in piani di dilazione in essere alla data del 24 ottobre 2016 e non ammessi alla precedente definizione in assenza di regolarità dei pagamenti al 31 dicembre 2016;</w:t>
      </w:r>
      <w:r w:rsidRPr="00BD0F30">
        <w:rPr>
          <w:rFonts w:ascii="Bookman Old Style" w:hAnsi="Bookman Old Style" w:cs="Helvetica"/>
          <w:sz w:val="22"/>
          <w:szCs w:val="22"/>
        </w:rPr>
        <w:br/>
        <w:t>– i carichi affidati all’Agente della Riscossione dal 1° gennaio 2017 al 30 settembre 2017.</w:t>
      </w:r>
      <w:r w:rsidRPr="00BD0F30">
        <w:rPr>
          <w:rFonts w:ascii="Bookman Old Style" w:hAnsi="Bookman Old Style" w:cs="Helvetica"/>
          <w:sz w:val="22"/>
          <w:szCs w:val="22"/>
        </w:rPr>
        <w:br/>
        <w:t>In questi casi il contribuente può accedere all’agevolazione presentando la dichiarazione di adesione entro il 15 maggio 2018 e utilizzando la modulistica disponibile sul sito internet dell’Agente della Riscossione.</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Dalla data di presentazione della dichiarazione e fino alla data di pagamento della prima/unica rata sono sospesi i pagamenti delle rate riferite a piani di rateazioni aventi scadenza successiva alla data di presentazione.</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i/>
          <w:sz w:val="22"/>
          <w:szCs w:val="22"/>
        </w:rPr>
      </w:pPr>
      <w:r w:rsidRPr="00BD0F30">
        <w:rPr>
          <w:rFonts w:ascii="Bookman Old Style" w:hAnsi="Bookman Old Style" w:cs="Helvetica"/>
          <w:i/>
          <w:sz w:val="22"/>
          <w:szCs w:val="22"/>
        </w:rPr>
        <w:t>Modalità di accesso alla definizione agevolata per i carichi di cui ai numeri 1. e 3.</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Relativamente ai carichi affidati all’Agente della Riscossione dal 2000 al 2016 che non siano già stati oggetto di dichiarazioni rese ai sensi del citato articolo 6, comma 2, del decreto legge n. 193/2016 e ai carichi affidati all’Agente della Riscossione dal 1° gennaio 2017 al 30 settembre 2017, l’iter della nuova definizione prevede:</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entro il 31 marzo 2018, limitatamente ai carichi di cui al n. 3, la trasmissione da parte dell’Agente al contribuente dell’informazione sulla posizione debitoria definibile (art. 6, comma 3, del decreto legge n. 193/2016);</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entro il 30 giugno 2018 la comunicazione dell’Agente al contribuente dell’ammontare complessivo delle somme dovute ai fini della definizione, nonché delle relative rate e il giorno e mese di scadenza di ciascuna di esse;</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il pagamento delle somme oggetto della comunicazione in unica rata oppure in un numero massimo di cinque rate consecutive di uguale importo secondo le seguenti scadenze:</w:t>
      </w:r>
      <w:r w:rsidRPr="00BD0F30">
        <w:rPr>
          <w:rFonts w:ascii="Bookman Old Style" w:hAnsi="Bookman Old Style" w:cs="Helvetica"/>
          <w:sz w:val="22"/>
          <w:szCs w:val="22"/>
        </w:rPr>
        <w:br/>
        <w:t>luglio 2018;</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settembre 2018;</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ottobre 2018;</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novembre 2018;</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febbraio 2019.</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In riferimento ai soli carichi affidati all’Agente dal 1° gennaio al 30 settembre 2017, la nuova definizione, nel caso di carichi interessati da dilazione, può essere esercitata dal contribuente anche se non risultino adempiuti tutti i versamenti rateali relativi alle dilazioni in essere in deroga alle disposizioni sulla precedente definizione.</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i/>
          <w:sz w:val="22"/>
          <w:szCs w:val="22"/>
        </w:rPr>
      </w:pPr>
      <w:r w:rsidRPr="00BD0F30">
        <w:rPr>
          <w:rFonts w:ascii="Bookman Old Style" w:hAnsi="Bookman Old Style" w:cs="Helvetica"/>
          <w:i/>
          <w:sz w:val="22"/>
          <w:szCs w:val="22"/>
        </w:rPr>
        <w:t>Modalità di accesso alla definizione agevolata per i carichi</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Relativamente ai carichi compresi in piani di dilazione in essere alla data del 24 ottobre 2016 e non ammessi alla precedente definizione in assenza di regolarità dei pagamenti al 31 dicembre 2016, l’Agente della Riscossione comunica al contribuente:</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entro il 30 giugno 2018 l’importo delle rate di dilazione scadute al 31 dicembre 2016 e non pagate;</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entro il 30 settembre 2018 l’ammontare complessivo delle somme dovute ai fini della definizione agevolata unitamente alle rate e al giorno e mese di scadenza di ciascuna di esse.</w:t>
      </w:r>
      <w:r w:rsidRPr="00BD0F30">
        <w:rPr>
          <w:rFonts w:ascii="Bookman Old Style" w:hAnsi="Bookman Old Style" w:cs="Helvetica"/>
          <w:sz w:val="22"/>
          <w:szCs w:val="22"/>
        </w:rPr>
        <w:br/>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i/>
          <w:sz w:val="22"/>
          <w:szCs w:val="22"/>
        </w:rPr>
      </w:pPr>
      <w:r w:rsidRPr="00BD0F30">
        <w:rPr>
          <w:rFonts w:ascii="Bookman Old Style" w:hAnsi="Bookman Old Style" w:cs="Helvetica"/>
          <w:i/>
          <w:sz w:val="22"/>
          <w:szCs w:val="22"/>
        </w:rPr>
        <w:t>Il contribuente, ai fini della definizione, è tenuto a pagare</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in unica soluzione, entro il 31 luglio 2018, le rate della dilazione scadute e non versate al 31 dicembre 2016;</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nei mesi di ottobre 2018 e novembre 2018, due rate consecutive di pari ammontare corrispondenti all’80% delle somme complessivamente dovute;</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entro febbraio 2019, l’ultima rata relativa al restante 20% delle somme complessivamente dovute.</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Si evidenzia che il mancato, insufficiente o tardivo versamento, entro il 31 luglio 2018, delle rate dovute in conto a precedenti dilazioni comporterà l’improcedibilità della nuova istanza di definizione agevolata e quindi la mancata ammissione alla stessa.</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i/>
          <w:sz w:val="22"/>
          <w:szCs w:val="22"/>
        </w:rPr>
      </w:pPr>
      <w:r w:rsidRPr="00BD0F30">
        <w:rPr>
          <w:rFonts w:ascii="Bookman Old Style" w:hAnsi="Bookman Old Style" w:cs="Helvetica"/>
          <w:i/>
          <w:sz w:val="22"/>
          <w:szCs w:val="22"/>
        </w:rPr>
        <w:t>Riflessi della normativa sulla verifica della regolarità contributiva – Durc on line</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L’articolo 54, comma 1, del decreto legge 24 aprile 2017, n. 50, convertito dalla legge 21 giugno 2017, n. 96, con riferimento all’articolo 6 del decreto legge n. 193/2016 ha previsto per il contribuente la possibilità di ottenere, rispetto ai carichi contenuti nelle cartelle di pagamento/avvisi di addebito oggetto di definizione agevolata dei crediti contributivi, un esito di regolarità nel periodo intercorrente tra la data di presentazione della dichiarazione di adesione e quella di scadenza della prima o unica rata, ferma restando la sussistenza di tutti gli altri requisiti previsti dall’articolo 3 del D.M. 30 gennaio 2015, emanato in attuazione dell’articolo 4 del decreto legge 20 marzo 2014, n. 34.</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In tale ambito è stato, inoltre, stabilito che al mancato perfezionamento della definizione agevolata – in caso di mancato ovvero di insufficiente o tardivo versamento dell’unica rata ovvero di una rata di quelle in cui è stato dilazionato il pagamento delle somme dovute -consegue l’annullamento (art. 54, comma 2) di tutti i Documenti rilasciati in virtù del citato comma 1 a partire dal 24 aprile 2017, data di entrata in vigore del decreto legge n. 50/2017.</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Tenuto conto del quadro normativo venutosi a delineare a seguito della disciplina introdotta dall’articolo 1, comma 4, del decreto legge n. 148/2017, descritto in premessa, si è posta la necessità di valutare se il rinvio letterale all’articolo 6 del decreto legge n. 193/2016, operato dall’articolo 54, comma 1, del decreto legge n. 50/2017, consenta o meno di ritenere suscettibile di applicazione la regolamentazione ivi contenuta anche alle ipotesi disciplinate dal citato articolo 1, comma 4, lett. a) e b).</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In merito, l’Ufficio Legislativo del Ministero del Lavoro e delle Politiche Sociali, appositamente interessato dall’Istituto, con nota del 09.01.2018, prot. 0000090, nel considerare le formulazioni sia dell’articolo 1 del decreto legge n. 148/2017 che dell’articolo 54 del decreto legge n. 50/2017, ha chiarito che il riferimento contenuto in entrambe le norme citate alle previsioni dell’articolo 6 del decreto-legge n. 193 del 2016 fa ragionevolmente ritenere, secondo la più condivisibile interpretazione sistematica di tali disposizioni, che il complessivo meccanismo conseguente alla “definizione agevolata” prevista dalla disposizione del 2016 si applichi a tutti i casi di definizione, compresi quelli previsti dalle norme estensive contenute nel decreto-legge n. 148 del 2017.</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Pertanto, anche in tali ipotesi appare applicabile la regola che consente il rilascio del D.U.R.C. sin dal momento della presentazione della domanda di definizione agevolata, secondo le disposizioni previste nelle norme indicate.</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Infine, le Strutture territoriali provvederanno alla definizione delle richieste di verifica di regolarità sulla base delle indicazioni fornite con la circolare n. 80 del 02/05/2017.</w:t>
      </w:r>
      <w:r w:rsidRPr="00BD0F30">
        <w:rPr>
          <w:rFonts w:ascii="Bookman Old Style" w:hAnsi="Bookman Old Style" w:cs="Helvetica"/>
          <w:sz w:val="22"/>
          <w:szCs w:val="22"/>
        </w:rPr>
        <w:br/>
        <w:t>(INPS, messaggio n. 142 del 12 gennaio 2018)</w:t>
      </w:r>
    </w:p>
    <w:p w:rsidR="006649DC" w:rsidRPr="00BD0F30" w:rsidRDefault="006649DC" w:rsidP="00BD0F30">
      <w:pPr>
        <w:pStyle w:val="NormalWeb"/>
        <w:shd w:val="clear" w:color="auto" w:fill="FFFFFF"/>
        <w:spacing w:before="0" w:beforeAutospacing="0" w:after="0" w:afterAutospacing="0"/>
        <w:jc w:val="both"/>
        <w:rPr>
          <w:rFonts w:ascii="Bookman Old Style" w:hAnsi="Bookman Old Style" w:cs="Helvetica"/>
          <w:sz w:val="22"/>
          <w:szCs w:val="22"/>
        </w:rPr>
      </w:pP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u w:val="single"/>
        </w:rPr>
      </w:pPr>
      <w:r w:rsidRPr="00BD0F30">
        <w:rPr>
          <w:rFonts w:ascii="Bookman Old Style" w:hAnsi="Bookman Old Style" w:cs="Helvetica"/>
          <w:bCs/>
          <w:sz w:val="22"/>
          <w:szCs w:val="22"/>
          <w:u w:val="single"/>
        </w:rPr>
        <w:t>Gestione posizioni a credito aziende</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Il messaggio in questione distingue le due fattispecie tipiche delle posizioni a credito: A) DM10 e Nota di rettifica passivi; B) DM10 VIG passivo.</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BD0F30">
        <w:rPr>
          <w:rFonts w:ascii="Bookman Old Style" w:hAnsi="Bookman Old Style" w:cs="Helvetica"/>
          <w:bCs/>
          <w:i/>
          <w:sz w:val="22"/>
          <w:szCs w:val="22"/>
        </w:rPr>
        <w:t>A) DM10 e Nota di rettifica passivi</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Sono tre le modalità di recupero del credito:</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1) Rimborso: da “Cassetto previdenziale” – “Comunicazione ON-LINE” – “Invio nuova comunicazione” – selezionare modulo “Rimborso Contributi”.</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2) Compensazione con altre partite debitorie Inps: da Cassetto previdenziale – Comunicazione ON-LINE – Invio nuova comunicazione – selezionare modulo “Compensazioni”.</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3) compensazione F24 (entro 12 mesi).</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i/>
          <w:sz w:val="22"/>
          <w:szCs w:val="22"/>
        </w:rPr>
      </w:pPr>
      <w:r w:rsidRPr="00BD0F30">
        <w:rPr>
          <w:rFonts w:ascii="Bookman Old Style" w:hAnsi="Bookman Old Style" w:cs="Helvetica"/>
          <w:bCs/>
          <w:i/>
          <w:sz w:val="22"/>
          <w:szCs w:val="22"/>
        </w:rPr>
        <w:t>B) DM 10 Vig Passivo</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In questo caso le modalità di recupero sono solo due, essendo interdetta quella tramite F24:</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Rimborso: da “Cassetto previdenziale” – “Comunicazione ON-LINE” – “Invio nuova comunicazione” – selezionare modulo “Rimborso Contributi”.</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 Compensazione con altre partite debitorie Inps: da “Cassetto previdenziale” – “Comunicazione ON-LINE” – “Invio nuova comunicazione” – selezionare modulo “Compensazioni”.</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r w:rsidRPr="00BD0F30">
        <w:rPr>
          <w:rFonts w:ascii="Bookman Old Style" w:hAnsi="Bookman Old Style" w:cs="Helvetica"/>
          <w:sz w:val="22"/>
          <w:szCs w:val="22"/>
        </w:rPr>
        <w:t>In presenza di altri debiti è opportuno precisare che la sede Inps può autonomamente compensare gli eventuali crediti dell’azienda. Tale possibilità deve però essere preventivamente comunicata al contribuente, al fine di evitare equivoci proprio sull’utilizzo del credito. Se dalla compensazione, infine, dovesse scaturire un residuo debito, lo stesso sarebbe gravato dalle somme aggiuntive, calcolate dalla data originaria di scadenza del debito contributivo.</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bCs/>
          <w:sz w:val="22"/>
          <w:szCs w:val="22"/>
        </w:rPr>
      </w:pPr>
      <w:r w:rsidRPr="00BD0F30">
        <w:rPr>
          <w:rFonts w:ascii="Bookman Old Style" w:hAnsi="Bookman Old Style" w:cs="Helvetica"/>
          <w:bCs/>
          <w:sz w:val="22"/>
          <w:szCs w:val="22"/>
        </w:rPr>
        <w:t>(Consiglio nazionale dei consulenti del lavoro, nota del 10 gennaio 2018)</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u w:val="single"/>
        </w:rPr>
      </w:pPr>
      <w:r w:rsidRPr="00BD0F30">
        <w:rPr>
          <w:rFonts w:ascii="Bookman Old Style" w:hAnsi="Bookman Old Style"/>
          <w:sz w:val="22"/>
          <w:szCs w:val="22"/>
          <w:u w:val="single"/>
        </w:rPr>
        <w:t>Reclamo e mediazione tributaria</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rPr>
      </w:pPr>
      <w:r w:rsidRPr="00BD0F30">
        <w:rPr>
          <w:rFonts w:ascii="Bookman Old Style" w:hAnsi="Bookman Old Style"/>
          <w:sz w:val="22"/>
          <w:szCs w:val="22"/>
        </w:rPr>
        <w:t>Dal 1° gennaio 2018 le nuove soglie.</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rPr>
      </w:pPr>
      <w:r w:rsidRPr="00BD0F30">
        <w:rPr>
          <w:rFonts w:ascii="Bookman Old Style" w:hAnsi="Bookman Old Style"/>
          <w:sz w:val="22"/>
          <w:szCs w:val="22"/>
        </w:rPr>
        <w:t xml:space="preserve">Il valore della controversia è pari all’importo del tributo al netto degli interessi e delle eventuali sanzioni, se l’atto contiene solo sanzioni, invece, è pari alla somma delle stesse (il valore massimo della controversia per la quale è possibile ricorrere all’istituto del reclamo-mediazione è stato portato a cinquantamila euro). Come spiega l’Agenzia delle entrate, con la circolare n. 30/E del 22 dicembre 2017, tra le modifiche ricordate, il valore della controversia, costituito dall’importo del tributo al netto degli interessi e delle eventuali sanzioni irrogate con l’atto impugnato, la responsabilità per danno erariale dei rappresentanti dell’agente della riscossione che concludono accordi di mediazione limitatamente alle ipotesi di dolo, infine, il principio dell’indisponibilità dei tributi costituenti risorse proprie comunitarie, già recepito in altre discipline nazionali: il reclamo-mediazione non si applica alle controversie relative alle risorse proprie tradizionali comunitarie. </w:t>
      </w:r>
    </w:p>
    <w:p w:rsidR="006649DC" w:rsidRPr="00BD0F30" w:rsidRDefault="006649DC" w:rsidP="00BD0F30">
      <w:pPr>
        <w:pStyle w:val="western"/>
        <w:shd w:val="clear" w:color="auto" w:fill="FFFFFF"/>
        <w:spacing w:before="0" w:beforeAutospacing="0" w:after="0" w:afterAutospacing="0"/>
        <w:jc w:val="both"/>
        <w:rPr>
          <w:rFonts w:ascii="Bookman Old Style" w:hAnsi="Bookman Old Style"/>
          <w:sz w:val="22"/>
          <w:szCs w:val="22"/>
        </w:rPr>
      </w:pPr>
      <w:r w:rsidRPr="00BD0F30">
        <w:rPr>
          <w:rFonts w:ascii="Bookman Old Style" w:hAnsi="Bookman Old Style"/>
          <w:sz w:val="22"/>
          <w:szCs w:val="22"/>
        </w:rPr>
        <w:t>(Agenzia delle entrate, circolare n. 30/E del 22 dicembre 2017)</w:t>
      </w:r>
    </w:p>
    <w:p w:rsidR="006649DC" w:rsidRDefault="006649DC" w:rsidP="00CB428B">
      <w:pPr>
        <w:pStyle w:val="Heading3"/>
        <w:rPr>
          <w:b/>
          <w:color w:val="000000"/>
          <w:sz w:val="28"/>
          <w:szCs w:val="28"/>
          <w:u w:val="none"/>
        </w:rPr>
      </w:pPr>
    </w:p>
    <w:p w:rsidR="006649DC" w:rsidRDefault="006649DC" w:rsidP="008175E2"/>
    <w:p w:rsidR="006649DC" w:rsidRPr="008175E2" w:rsidRDefault="006649DC" w:rsidP="008175E2"/>
    <w:p w:rsidR="006649DC" w:rsidRDefault="006649DC" w:rsidP="00CB428B">
      <w:pPr>
        <w:pStyle w:val="Heading3"/>
        <w:rPr>
          <w:b/>
          <w:color w:val="000000"/>
          <w:sz w:val="28"/>
          <w:szCs w:val="28"/>
          <w:u w:val="none"/>
        </w:rPr>
      </w:pPr>
      <w:bookmarkStart w:id="141" w:name="_Toc506559961"/>
      <w:r w:rsidRPr="005D7932">
        <w:rPr>
          <w:b/>
          <w:color w:val="000000"/>
          <w:sz w:val="28"/>
          <w:szCs w:val="28"/>
          <w:u w:val="none"/>
        </w:rPr>
        <w:t>VARIE</w:t>
      </w:r>
      <w:bookmarkEnd w:id="141"/>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u w:val="single"/>
        </w:rPr>
      </w:pPr>
      <w:r w:rsidRPr="000F501F">
        <w:rPr>
          <w:rFonts w:ascii="Bookman Old Style" w:hAnsi="Bookman Old Style"/>
          <w:sz w:val="22"/>
          <w:szCs w:val="22"/>
          <w:u w:val="single"/>
        </w:rPr>
        <w:t xml:space="preserve">Utilizzo delle perdite nel consolidato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Assonime, nella nota del 29 gennaio 2018, si sofferma sulla recente circolare dell’Agenzia delle entrate n. 2/E/2018 sull’utilizzo delle perdite nel consolidato.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Con la citata circolare n. 2/E l'Agenzia delle entrate risponde a due specifici quesiti posti dai contribuenti riguardanti la disciplina di tassazione consolidata ex art. 117 del TUIR. La prima fattispecie sulla quale si è espressa l'Agenzia delle entrate è la seguente.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Nel periodo d'imposta N la società consolidata A trasferisce al consolidato una perdita di periodo di 1000; alla società viene contestato un maggiore reddito imponibile di 400, un reddito imponibile che, cioè, non eccede le perdite di periodo.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È stato chiesto se in questa ipotesi, in alternativa all'utilizzo delle perdite del consolidato (IPEC) la società A possa utilizzare ad abbattimento del maggiore reddito accertato le perdite maturate anteriormente all'esercizio dell'opzione per la tassazione consolidata (c.d. perdite pregresse) mediante modello IPEA. L</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'Amministrazione finanziaria ha risposto negativamente.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L'Agenzia delle entrate ricorda che le perdite pregresse ex art. 118, comma 2, del TUIR, non possono concorrere alla formazione della base imponibile di gruppo, bensì possono essere utilizzate esclusivamente dalle società consolidate a riduzione della propria base imponibile. Sicché, "in un'ottica di ripristino della situazione che si sarebbe verificata se il destinatario della rettifica avesse correttamente dichiarato il proprio reddito sin dall'origine", le perdite pregresse possono essere utilizzate mediante modello IPEA se e nella misura in cui il maggior reddito accertato ecceda le perdite di periodo; sino a concorrenza delle perdite di periodo il maggior reddito accertato può essere compensato con le perdite del consolidato mediante modello IPEC.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Nel caso di specie, dunque, la società A non potrà utilizzare le perdite pregresse (IPEA); il maggior reddito accertato (400), infatti, non eccede le perdite di periodo e, dunque, esso potrà essere compensato esclusivamente mediante utilizzo delle perdite del consolidato (IPEC).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Diversamente ragionando, osserva l'Agenzia delle entrate, si giungerebbe ad ammettere, attraverso il modello IPEA, il trasferimento delle perdite pregresse alla fiscal unit.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Di converso, qualora venisse contestato alla società A un maggior reddito di 1500, essa potrebbe compensare detto maggior reddito per 500 con le perdite pregresse (IPEA) e 1000, come abbiamo detto, con le perdite del consolidato (IPEC).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Con un altro quesito è stato chiesto all'Agenzia delle entrate a quale criterio di attribuzione delle perdite maturate durante diversi trienni di tassazione consolidata si debba far riferimento qualora risultino adottati criteri differenti in relazione ai predetti trienni.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Assonime ricorda, infatti, che in caso di interruzione anticipata del consolidato o di revoca dell'opzione per la tassazione consolidata, le perdite del consolidato possono: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 essere attribuite alla società o ente consolidante cod. 1;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 essere attribuite proporzionalmente alle società che hanno prodotto le perdite cod. 2;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 essere riconosciute alle società che hanno prodotto le perdite secondo modalità diverse dalle precedenti cod. 3.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In sede di attivazione del consolidato nonché ad ogni suo rinnovo il consolidato (rectius: le società consolidate) devono comunicare quale criterio intendono adottare, con la conseguenza che detto criterio, in presenza di consolidati che si protraggono per più trienni, può mutare. Si ipotizzi, che il consolidato A abbia optato: per il primo triennio cod. 3, per il secondo triennio cod. 2, per il terzo triennio cod. 3.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Il consolidato è revocato alla scadenza del terzo triennio. In questi casi, è stato chiesto se "il criterio di attribuzione delle perdite applicabile sia l'ultimo manifestato in sede di rinnovo di opzione, ossia quello valido nel triennio in cui si verifica l'interruzione o la revoca del consolidato, oppure sia quello relativo al triennio in cui è maturata la perdita".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Secondo l'Agenzia delle entrate, "il criterio da utilizzare ai fini dell'attribuzione delle perdite in ipotesi di interruzione del consolidato o di revoca dell'opzione (o di mancato rinnovo) è l'ultimo comunicato in sede di opzione o di rinnovo in relazione a tutte le perdite da attribuire al momento dell'evento interruttivo, indipendentemente quindi dal periodo in cui sono maturate e senza operare alcuna stratificazione di formazione delle stesse, anche qualora sia stato medio tempore modificato il criterio di attribuzione.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(Assonime, nota del 29 gennaio 2018)</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u w:val="single"/>
        </w:rPr>
      </w:pPr>
      <w:r w:rsidRPr="000F501F">
        <w:rPr>
          <w:rFonts w:ascii="Bookman Old Style" w:hAnsi="Bookman Old Style"/>
          <w:sz w:val="22"/>
          <w:szCs w:val="22"/>
          <w:u w:val="single"/>
        </w:rPr>
        <w:t xml:space="preserve">Termine di conservazione elettronica delle dichiarazioni fiscali legati all’anno di invio telematico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Nel caso di conservazione elettronica dei modelli dichiarativi fiscali, comunicativi e di versamento, per il calcolo del termine di scadenza per la conservazione occorre fare riferimento all’anno di produzione e trasmissione del documento.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Così, ad esempio, per la dichiarazione annuale dei redditi 2017 (anno d’imposta 2016), essendo un documento formatosi nel corso dell’anno 2017, il termine di scadenza per la relativa conservazione coinciderà con il terzo mese successivo al termine di presentazione delle dichiarazione dei redditi relativa all’anno d’imposta 2017, ossia il 31 dicembre 2018. Lo ha precisato l’Agenzia delle entrate, con la risoluzione n. 9/E del 29 gennaio 2018, rilasciata a seguito di una istanza di interpello nella quale si chiedeva se, per la conservazione elettronica delle dichiarazioni fiscali, debba essere considerata come data di riferimento per l'individuazione del termine di scadenza l'anno di presentazione della dichiarazione, ovvero l'anno del periodo di imposta a cui si riferisce la dichiarazione medesima.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Peraltro, la risoluzione n. 46/E del 10 aprile 2017, aveva già chiarito che “ai sensi dell’articolo 3, comma 3, del D.M. 17.06.14 (che rinvia all’articolo 7, comma 4-ter, del D.L. n. 357/1994) la conservazione dei documenti informatici, ai fini della rilevanza fiscale, deve essere eseguita entro il terzo mese successivo al termine di presentazione delle dichiarazioni annuali, da intendersi, in un ottica di semplificazione e uniformità del sistema, con il termine di presentazione delle dichiarazioni dei redditi.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In altre parole, il termine di riferimento per procedere alla conservazione di tutti i documenti informatici coincide con il termine per la presentazione della dichiarazione annuale dei redditi, termine valido anche per i documenti rilevanti ai fini dell’imposta sul valore aggiunto, ancorché a partire dal periodo d’imposta 2017 i termini di presentazione delle dichiarazioni rilevanti ai fini delle imposte sui redditi e dell’IVA siano disallineati.”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(Agenzia delle entrate, risoluzione n. 9/E del 29 gennaio 2018)</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p>
    <w:p w:rsidR="006649DC" w:rsidRPr="000F501F" w:rsidRDefault="006649DC" w:rsidP="000F501F">
      <w:pPr>
        <w:shd w:val="clear" w:color="auto" w:fill="FFFFFF"/>
        <w:jc w:val="both"/>
        <w:rPr>
          <w:rFonts w:ascii="Bookman Old Style" w:hAnsi="Bookman Old Style" w:cs="Helvetica"/>
          <w:sz w:val="22"/>
          <w:szCs w:val="22"/>
          <w:u w:val="single"/>
        </w:rPr>
      </w:pPr>
      <w:r w:rsidRPr="000F501F">
        <w:rPr>
          <w:rFonts w:ascii="Bookman Old Style" w:hAnsi="Bookman Old Style" w:cs="Helvetica"/>
          <w:bCs/>
          <w:sz w:val="22"/>
          <w:szCs w:val="22"/>
          <w:u w:val="single"/>
        </w:rPr>
        <w:t>Uniemens: istituiti nuovi codici contratto</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Uniemens: l’INPS istituisce nuovi codici contratto.</w:t>
      </w:r>
      <w:r w:rsidRPr="000F501F">
        <w:rPr>
          <w:sz w:val="22"/>
          <w:szCs w:val="22"/>
          <w:lang w:bidi="he-IL"/>
        </w:rPr>
        <w:t>‎</w:t>
      </w:r>
      <w:r w:rsidRPr="000F501F">
        <w:rPr>
          <w:rFonts w:ascii="Bookman Old Style" w:hAnsi="Bookman Old Style" w:cs="Helvetica"/>
          <w:sz w:val="22"/>
          <w:szCs w:val="22"/>
        </w:rPr>
        <w:t xml:space="preserve"> L</w:t>
      </w:r>
      <w:r w:rsidRPr="000F501F">
        <w:rPr>
          <w:rFonts w:ascii="Bookman Old Style" w:hAnsi="Bookman Old Style" w:cs="Verdana"/>
          <w:sz w:val="22"/>
          <w:szCs w:val="22"/>
        </w:rPr>
        <w:t>’</w:t>
      </w:r>
      <w:r w:rsidRPr="000F501F">
        <w:rPr>
          <w:rFonts w:ascii="Bookman Old Style" w:hAnsi="Bookman Old Style" w:cs="Helvetica"/>
          <w:sz w:val="22"/>
          <w:szCs w:val="22"/>
        </w:rPr>
        <w:t>INPS, con il</w:t>
      </w:r>
      <w:r w:rsidRPr="000F501F">
        <w:rPr>
          <w:rFonts w:ascii="Bookman Old Style" w:hAnsi="Bookman Old Style" w:cs="Verdana"/>
          <w:sz w:val="22"/>
          <w:szCs w:val="22"/>
        </w:rPr>
        <w:t> </w:t>
      </w:r>
      <w:r w:rsidRPr="000F501F">
        <w:rPr>
          <w:rFonts w:ascii="Bookman Old Style" w:hAnsi="Bookman Old Style" w:cs="Helvetica"/>
          <w:bCs/>
          <w:sz w:val="22"/>
          <w:szCs w:val="22"/>
        </w:rPr>
        <w:t>messaggio n. 346 del 24 gennaio 2018</w:t>
      </w:r>
      <w:r w:rsidRPr="000F501F">
        <w:rPr>
          <w:rFonts w:ascii="Bookman Old Style" w:hAnsi="Bookman Old Style" w:cs="Helvetica"/>
          <w:sz w:val="22"/>
          <w:szCs w:val="22"/>
        </w:rPr>
        <w:t>, comunica di aver istituito, a decorrere dal periodo di paga gennaio 2018, nuovi codici (dal 429 al 480) dell’elemento “Codice Contratto” di “Denuncia Individuale” del flusso Uniemens.</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429”</w:t>
      </w:r>
      <w:r w:rsidRPr="000F501F">
        <w:rPr>
          <w:rFonts w:ascii="Bookman Old Style" w:hAnsi="Bookman Old Style" w:cs="Helvetica"/>
          <w:sz w:val="22"/>
          <w:szCs w:val="22"/>
        </w:rPr>
        <w:t> avente il significato di “CCNL per i dipendenti del settore turismo -FEDERTERZIARIO, CONFIMEA”.</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430</w:t>
      </w:r>
      <w:r w:rsidRPr="000F501F">
        <w:rPr>
          <w:rFonts w:ascii="Bookman Old Style" w:hAnsi="Bookman Old Style" w:cs="Helvetica"/>
          <w:sz w:val="22"/>
          <w:szCs w:val="22"/>
        </w:rPr>
        <w:t>” avente il significato di “CCNL per i dipendenti delle aziende, i soci lavoratori e i dipendenti delle cooperative e loro consorzi che svolgono attività stagionale nel settore turismo – FEDERTERZIARIO, CONFIMEA, CONFITER, IMPRESA ITALIA”.</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431</w:t>
      </w:r>
      <w:r w:rsidRPr="000F501F">
        <w:rPr>
          <w:rFonts w:ascii="Bookman Old Style" w:hAnsi="Bookman Old Style" w:cs="Helvetica"/>
          <w:sz w:val="22"/>
          <w:szCs w:val="22"/>
        </w:rPr>
        <w:t>” avente il significato di “CCNL per i dipendenti delle imprese edili artigiane e delle piccole e medie imprese industriali ed affini – FEDERTERZIARIO”.</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432</w:t>
      </w:r>
      <w:r w:rsidRPr="000F501F">
        <w:rPr>
          <w:rFonts w:ascii="Bookman Old Style" w:hAnsi="Bookman Old Style" w:cs="Helvetica"/>
          <w:sz w:val="22"/>
          <w:szCs w:val="22"/>
        </w:rPr>
        <w:t>” avente il significato di “CCNL per i lavoratori dipendenti da aziende esercenti le attività di escavazione e lavorazione dei materiali lapidei -FEDERTERZIARIO”.</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433</w:t>
      </w:r>
      <w:r w:rsidRPr="000F501F">
        <w:rPr>
          <w:rFonts w:ascii="Bookman Old Style" w:hAnsi="Bookman Old Style" w:cs="Helvetica"/>
          <w:sz w:val="22"/>
          <w:szCs w:val="22"/>
        </w:rPr>
        <w:t>” avente il significato di “CCNL per gli addetti delle imprese del settore trasporto, spedizioni, logistica e attività affini – FOR.ITALY”.</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434</w:t>
      </w:r>
      <w:r w:rsidRPr="000F501F">
        <w:rPr>
          <w:rFonts w:ascii="Bookman Old Style" w:hAnsi="Bookman Old Style" w:cs="Helvetica"/>
          <w:sz w:val="22"/>
          <w:szCs w:val="22"/>
        </w:rPr>
        <w:t>” avente il significato di “CCNL per gli addetti delle imprese operanti nel settore manifatturiero, produzione e fabbricazione di beni – FOR.ITALY”.</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435</w:t>
      </w:r>
      <w:r w:rsidRPr="000F501F">
        <w:rPr>
          <w:rFonts w:ascii="Bookman Old Style" w:hAnsi="Bookman Old Style" w:cs="Helvetica"/>
          <w:sz w:val="22"/>
          <w:szCs w:val="22"/>
        </w:rPr>
        <w:t>” avente il significato di “CCNL per gli addetti delle imprese del settore terziario – FOR.ITALY”.</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436</w:t>
      </w:r>
      <w:r w:rsidRPr="000F501F">
        <w:rPr>
          <w:rFonts w:ascii="Bookman Old Style" w:hAnsi="Bookman Old Style" w:cs="Helvetica"/>
          <w:sz w:val="22"/>
          <w:szCs w:val="22"/>
        </w:rPr>
        <w:t>” avente il significato di “CCNL lavoratori dipendenti dalle imprese esercenti attività nel settore dei servizi – FAPI, CESAC”.</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437</w:t>
      </w:r>
      <w:r w:rsidRPr="000F501F">
        <w:rPr>
          <w:rFonts w:ascii="Bookman Old Style" w:hAnsi="Bookman Old Style" w:cs="Helvetica"/>
          <w:sz w:val="22"/>
          <w:szCs w:val="22"/>
        </w:rPr>
        <w:t>” avente il significato di “CCNL lavoratori dipendenti dalle imprese esercenti attività nel settore del commercio – FAPI, CESAC”.</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438</w:t>
      </w:r>
      <w:r w:rsidRPr="000F501F">
        <w:rPr>
          <w:rFonts w:ascii="Bookman Old Style" w:hAnsi="Bookman Old Style" w:cs="Helvetica"/>
          <w:sz w:val="22"/>
          <w:szCs w:val="22"/>
        </w:rPr>
        <w:t>” avente il significato di “CCNL Lavoratori dipendenti dalle imprese esercenti attività nel settore turismo – FAPI, CESAC”.</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439</w:t>
      </w:r>
      <w:r w:rsidRPr="000F501F">
        <w:rPr>
          <w:rFonts w:ascii="Bookman Old Style" w:hAnsi="Bookman Old Style" w:cs="Helvetica"/>
          <w:sz w:val="22"/>
          <w:szCs w:val="22"/>
        </w:rPr>
        <w:t>” avente il significato di “CCNL lavoratori dipendenti e soci lavoratori delle associazioni – FAPI, CESAC”.</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440</w:t>
      </w:r>
      <w:r w:rsidRPr="000F501F">
        <w:rPr>
          <w:rFonts w:ascii="Bookman Old Style" w:hAnsi="Bookman Old Style" w:cs="Helvetica"/>
          <w:sz w:val="22"/>
          <w:szCs w:val="22"/>
        </w:rPr>
        <w:t>” avente il significato di “CCNL lavoratori dipendenti delle imprese edili artigiane ed affini artigiane – FAPI, CESAC”.</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441</w:t>
      </w:r>
      <w:r w:rsidRPr="000F501F">
        <w:rPr>
          <w:rFonts w:ascii="Bookman Old Style" w:hAnsi="Bookman Old Style" w:cs="Helvetica"/>
          <w:sz w:val="22"/>
          <w:szCs w:val="22"/>
        </w:rPr>
        <w:t>” avente il significato di “CCNL per i lavoratori dipendenti delle imprese di acconciatura, estetica, tricologia non curativa, tatuaggi, piercing e centri benessere – FAPI, CESAC”.</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442</w:t>
      </w:r>
      <w:r w:rsidRPr="000F501F">
        <w:rPr>
          <w:rFonts w:ascii="Bookman Old Style" w:hAnsi="Bookman Old Style" w:cs="Helvetica"/>
          <w:sz w:val="22"/>
          <w:szCs w:val="22"/>
        </w:rPr>
        <w:t>” avente il significato di “CCNL per i dipendenti dalle imprese del settore agroalimentare, dell’agricoltura e della pesca – FAPI, CESAC”.</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443</w:t>
      </w:r>
      <w:r w:rsidRPr="000F501F">
        <w:rPr>
          <w:rFonts w:ascii="Bookman Old Style" w:hAnsi="Bookman Old Style" w:cs="Helvetica"/>
          <w:sz w:val="22"/>
          <w:szCs w:val="22"/>
        </w:rPr>
        <w:t>” avente il significato di “CCNL lavoratori dipendenti delle industrie -FAPI, CESAC”.</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444</w:t>
      </w:r>
      <w:r w:rsidRPr="000F501F">
        <w:rPr>
          <w:rFonts w:ascii="Bookman Old Style" w:hAnsi="Bookman Old Style" w:cs="Helvetica"/>
          <w:sz w:val="22"/>
          <w:szCs w:val="22"/>
        </w:rPr>
        <w:t>” avente il significato di “CCNL lavoratori dipendenti delle imprese artigiane metalmeccaniche ed affini artigiane – FAPI, CESAC”.</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445</w:t>
      </w:r>
      <w:r w:rsidRPr="000F501F">
        <w:rPr>
          <w:rFonts w:ascii="Bookman Old Style" w:hAnsi="Bookman Old Style" w:cs="Helvetica"/>
          <w:sz w:val="22"/>
          <w:szCs w:val="22"/>
        </w:rPr>
        <w:t>” avente il significato di “CCNL per dipendenti di studi professionali che amministrano condomini e società di servizi integrati alla proprietà immobiliare – SACI, ANACI”.</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446</w:t>
      </w:r>
      <w:r w:rsidRPr="000F501F">
        <w:rPr>
          <w:rFonts w:ascii="Bookman Old Style" w:hAnsi="Bookman Old Style" w:cs="Helvetica"/>
          <w:sz w:val="22"/>
          <w:szCs w:val="22"/>
        </w:rPr>
        <w:t>” avente il significato di “CCNL per dipendenti e soci delle cooperative e soci delle cooperative sociali esercenti attività nel settore socio-sanitario assistenziale, educativo e di inserimento lavorativo – UNCI, ANCOS”.</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447</w:t>
      </w:r>
      <w:r w:rsidRPr="000F501F">
        <w:rPr>
          <w:rFonts w:ascii="Bookman Old Style" w:hAnsi="Bookman Old Style" w:cs="Helvetica"/>
          <w:sz w:val="22"/>
          <w:szCs w:val="22"/>
        </w:rPr>
        <w:t>” avente il significato di “CCNL per dipendenti e soci delle cooperative della pesca professionale ed esercenti attività nel settore ittico ed acquacoltura -UNCI”.</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448</w:t>
      </w:r>
      <w:r w:rsidRPr="000F501F">
        <w:rPr>
          <w:rFonts w:ascii="Bookman Old Style" w:hAnsi="Bookman Old Style" w:cs="Helvetica"/>
          <w:sz w:val="22"/>
          <w:szCs w:val="22"/>
        </w:rPr>
        <w:t>” avente il significato di “CCNL per i dipendenti da aziende esercenti lavorazioni conto terzi a façon – LAIF, ANPIT”.</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449</w:t>
      </w:r>
      <w:r w:rsidRPr="000F501F">
        <w:rPr>
          <w:rFonts w:ascii="Bookman Old Style" w:hAnsi="Bookman Old Style" w:cs="Helvetica"/>
          <w:sz w:val="22"/>
          <w:szCs w:val="22"/>
        </w:rPr>
        <w:t>” avente il significato di “CCNL per dipendenti delle società ed enti di formazione – AIFES, ANPIT, CIDEC”.</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450</w:t>
      </w:r>
      <w:r w:rsidRPr="000F501F">
        <w:rPr>
          <w:rFonts w:ascii="Bookman Old Style" w:hAnsi="Bookman Old Style" w:cs="Helvetica"/>
          <w:sz w:val="22"/>
          <w:szCs w:val="22"/>
        </w:rPr>
        <w:t>” avente il significato di “CCNL per dipendenti dei settori del commercio – ANPIT, CIDEC, CONFIMPRENDITORI, UNICA”.</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451</w:t>
      </w:r>
      <w:r w:rsidRPr="000F501F">
        <w:rPr>
          <w:rFonts w:ascii="Bookman Old Style" w:hAnsi="Bookman Old Style" w:cs="Helvetica"/>
          <w:sz w:val="22"/>
          <w:szCs w:val="22"/>
        </w:rPr>
        <w:t>” avente il significato di “CCNL per dipendenti e soci lavoratori delle cooperative esercenti attività nei settori terziario e servizi, facility management, lavorazioni meccaniche, lavori edili ausiliari – UNCI, ANPIT”.</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452</w:t>
      </w:r>
      <w:r w:rsidRPr="000F501F">
        <w:rPr>
          <w:rFonts w:ascii="Bookman Old Style" w:hAnsi="Bookman Old Style" w:cs="Helvetica"/>
          <w:sz w:val="22"/>
          <w:szCs w:val="22"/>
        </w:rPr>
        <w:t>” avente il significato di “CCNL per dipendenti degli studi dei revisori legali e tributaristi e delle società di revisione – INRL, LAPET, ANPIT, CIDEC”.</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453</w:t>
      </w:r>
      <w:r w:rsidRPr="000F501F">
        <w:rPr>
          <w:rFonts w:ascii="Bookman Old Style" w:hAnsi="Bookman Old Style" w:cs="Helvetica"/>
          <w:sz w:val="22"/>
          <w:szCs w:val="22"/>
        </w:rPr>
        <w:t>” avente il significato di “CCNL per i dipendenti di aziende e cooperative esercenti attività del settore servizi – ANPIT, CIDEC, CONFAZIENDA, FEDIMPRESE, UNICA”.</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454</w:t>
      </w:r>
      <w:r w:rsidRPr="000F501F">
        <w:rPr>
          <w:rFonts w:ascii="Bookman Old Style" w:hAnsi="Bookman Old Style" w:cs="Helvetica"/>
          <w:sz w:val="22"/>
          <w:szCs w:val="22"/>
        </w:rPr>
        <w:t>” avente il significato di “CCNL per i dipendenti di aziende esercenti attività nel settore turismo, pubblici esercizi e agenzie di viaggio – ANPIT, CIDEC, CONFIMPRENDITORI, PMI ITALIA, UAI”.</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455</w:t>
      </w:r>
      <w:r w:rsidRPr="000F501F">
        <w:rPr>
          <w:rFonts w:ascii="Bookman Old Style" w:hAnsi="Bookman Old Style" w:cs="Helvetica"/>
          <w:sz w:val="22"/>
          <w:szCs w:val="22"/>
        </w:rPr>
        <w:t>” avente il significato di “CCNL per i dipendenti di università telematiche e servizi collegati – UNIPEGASO, ANPIT”.</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456</w:t>
      </w:r>
      <w:r w:rsidRPr="000F501F">
        <w:rPr>
          <w:rFonts w:ascii="Bookman Old Style" w:hAnsi="Bookman Old Style" w:cs="Helvetica"/>
          <w:sz w:val="22"/>
          <w:szCs w:val="22"/>
        </w:rPr>
        <w:t>” avente il significato di “CCNL per i dipendenti degli istituti e aziende di vigilanza privata, investigazioni e servizi fiduciari – ANPIT, CIDEC, CONFAZIENDA, UNICA, UNIQUALITY”.</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457</w:t>
      </w:r>
      <w:r w:rsidRPr="000F501F">
        <w:rPr>
          <w:rFonts w:ascii="Bookman Old Style" w:hAnsi="Bookman Old Style" w:cs="Helvetica"/>
          <w:sz w:val="22"/>
          <w:szCs w:val="22"/>
        </w:rPr>
        <w:t>” avente il significato di “CCNL dei lavoratori di aziende di formatori sicurezza sui luoghi di lavoro – UNIMPRESA”.</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458</w:t>
      </w:r>
      <w:r w:rsidRPr="000F501F">
        <w:rPr>
          <w:rFonts w:ascii="Bookman Old Style" w:hAnsi="Bookman Old Style" w:cs="Helvetica"/>
          <w:sz w:val="22"/>
          <w:szCs w:val="22"/>
        </w:rPr>
        <w:t>” avente il significato di “CCNL dei lavoratori addetti alle PMI del settore metalmeccanica ed installazione di impianti – UNIMPRESA”.</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459</w:t>
      </w:r>
      <w:r w:rsidRPr="000F501F">
        <w:rPr>
          <w:rFonts w:ascii="Bookman Old Style" w:hAnsi="Bookman Old Style" w:cs="Helvetica"/>
          <w:sz w:val="22"/>
          <w:szCs w:val="22"/>
        </w:rPr>
        <w:t>” avente il significato di “CCNL del lavoratori addetti aziende cooperative di trasformazione di prodotti agricoli – UNIMPRESA”.</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460</w:t>
      </w:r>
      <w:r w:rsidRPr="000F501F">
        <w:rPr>
          <w:rFonts w:ascii="Bookman Old Style" w:hAnsi="Bookman Old Style" w:cs="Helvetica"/>
          <w:sz w:val="22"/>
          <w:szCs w:val="22"/>
        </w:rPr>
        <w:t>” avente il significato di “CCNL dei lavoratori delle imprese edili artigiane e delle piccole e medie imprese industriali edili ed affini – UNIMPRESA”</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461</w:t>
      </w:r>
      <w:r w:rsidRPr="000F501F">
        <w:rPr>
          <w:rFonts w:ascii="Bookman Old Style" w:hAnsi="Bookman Old Style" w:cs="Helvetica"/>
          <w:sz w:val="22"/>
          <w:szCs w:val="22"/>
        </w:rPr>
        <w:t>” avente il significato di “CCNL dei dipendenti del terziario, commercio, distribuzione e servizi – UNIMPRESA”.</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462</w:t>
      </w:r>
      <w:r w:rsidRPr="000F501F">
        <w:rPr>
          <w:rFonts w:ascii="Bookman Old Style" w:hAnsi="Bookman Old Style" w:cs="Helvetica"/>
          <w:sz w:val="22"/>
          <w:szCs w:val="22"/>
        </w:rPr>
        <w:t>” avente il significato di “CCNL dei dipendenti da istituti e imprese di vigilanza e servizi fiduciari – UNIMPRESA”.</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463</w:t>
      </w:r>
      <w:r w:rsidRPr="000F501F">
        <w:rPr>
          <w:rFonts w:ascii="Bookman Old Style" w:hAnsi="Bookman Old Style" w:cs="Helvetica"/>
          <w:sz w:val="22"/>
          <w:szCs w:val="22"/>
        </w:rPr>
        <w:t>” avente il significato di “CCNL dei dipendenti delle aziende e delle organizzazioni operanti nella sanità privata – UNIMPRESA”.</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464</w:t>
      </w:r>
      <w:r w:rsidRPr="000F501F">
        <w:rPr>
          <w:rFonts w:ascii="Bookman Old Style" w:hAnsi="Bookman Old Style" w:cs="Helvetica"/>
          <w:sz w:val="22"/>
          <w:szCs w:val="22"/>
        </w:rPr>
        <w:t>” avente il significato di “CCNL per il personale tutto della scuola non statale e degli enti di formazione professionale – UNIMPRESA”.</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465</w:t>
      </w:r>
      <w:r w:rsidRPr="000F501F">
        <w:rPr>
          <w:rFonts w:ascii="Bookman Old Style" w:hAnsi="Bookman Old Style" w:cs="Helvetica"/>
          <w:sz w:val="22"/>
          <w:szCs w:val="22"/>
        </w:rPr>
        <w:t>” avente il significato di “CCNL per i dipendenti delle imprese nel settore autotrasporto, spedizioni merci, logistica e facchinaggio – UNIMPRESA”.</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466</w:t>
      </w:r>
      <w:r w:rsidRPr="000F501F">
        <w:rPr>
          <w:rFonts w:ascii="Bookman Old Style" w:hAnsi="Bookman Old Style" w:cs="Helvetica"/>
          <w:sz w:val="22"/>
          <w:szCs w:val="22"/>
        </w:rPr>
        <w:t>” avente il significato di “CCNL per il personale tutto, delle aziende e delle organizzazioni operanti nel comparto socio-sanitario-assistenziale-educativo – UNIMPRESA”.</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467</w:t>
      </w:r>
      <w:r w:rsidRPr="000F501F">
        <w:rPr>
          <w:rFonts w:ascii="Bookman Old Style" w:hAnsi="Bookman Old Style" w:cs="Helvetica"/>
          <w:sz w:val="22"/>
          <w:szCs w:val="22"/>
        </w:rPr>
        <w:t>” avente il significato di “CCNL per il personale dipendente dei centri di elaborazione dati e agenzie di servizi – UNIMPRESA”.</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468</w:t>
      </w:r>
      <w:r w:rsidRPr="000F501F">
        <w:rPr>
          <w:rFonts w:ascii="Bookman Old Style" w:hAnsi="Bookman Old Style" w:cs="Helvetica"/>
          <w:sz w:val="22"/>
          <w:szCs w:val="22"/>
        </w:rPr>
        <w:t>” avente il significato di “CCNL per il personale dipendente delle imprese di pulizia – UNIMPRESA”.</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469</w:t>
      </w:r>
      <w:r w:rsidRPr="000F501F">
        <w:rPr>
          <w:rFonts w:ascii="Bookman Old Style" w:hAnsi="Bookman Old Style" w:cs="Helvetica"/>
          <w:sz w:val="22"/>
          <w:szCs w:val="22"/>
        </w:rPr>
        <w:t>” avente il significato di “CCNL dei lavoratori di aziende dei settori pesca, acquacoltura e maricoltura – UNIMPRESA, CIDEC”.</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470</w:t>
      </w:r>
      <w:r w:rsidRPr="000F501F">
        <w:rPr>
          <w:rFonts w:ascii="Bookman Old Style" w:hAnsi="Bookman Old Style" w:cs="Helvetica"/>
          <w:sz w:val="22"/>
          <w:szCs w:val="22"/>
        </w:rPr>
        <w:t>” avente il significato di “CCNL per i dipendenti delle imprese e reti di imprese che operano nei settori turistici alberghieri, b&amp;b, centri termali, pubblici esercizi, stabilimenti balneari, agenzie di viaggio – UNIMPRESA”.</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471</w:t>
      </w:r>
      <w:r w:rsidRPr="000F501F">
        <w:rPr>
          <w:rFonts w:ascii="Bookman Old Style" w:hAnsi="Bookman Old Style" w:cs="Helvetica"/>
          <w:sz w:val="22"/>
          <w:szCs w:val="22"/>
        </w:rPr>
        <w:t>” avente il significato di “CCNL per i dipendenti delle aziende e studi di amministrazione condominiale e/o di servizi integrati alla proprietà immobiliari – UNIMPRESA”.</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472</w:t>
      </w:r>
      <w:r w:rsidRPr="000F501F">
        <w:rPr>
          <w:rFonts w:ascii="Bookman Old Style" w:hAnsi="Bookman Old Style" w:cs="Helvetica"/>
          <w:sz w:val="22"/>
          <w:szCs w:val="22"/>
        </w:rPr>
        <w:t>” avente il significato di “CCNL per il personale degli Enti gestori di corsi di istruzione, formazione e cultura varia, FIDEF, FIINSEI, CONFIMPRESE”</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473</w:t>
      </w:r>
      <w:r w:rsidRPr="000F501F">
        <w:rPr>
          <w:rFonts w:ascii="Bookman Old Style" w:hAnsi="Bookman Old Style" w:cs="Helvetica"/>
          <w:sz w:val="22"/>
          <w:szCs w:val="22"/>
        </w:rPr>
        <w:t>” avente il significato di “CCNL intersettoriale Commercio, Terziario, Distribuzione, Servizi, Pubblici Esercizi e Turismo – CIFA”.</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474</w:t>
      </w:r>
      <w:r w:rsidRPr="000F501F">
        <w:rPr>
          <w:rFonts w:ascii="Bookman Old Style" w:hAnsi="Bookman Old Style" w:cs="Helvetica"/>
          <w:sz w:val="22"/>
          <w:szCs w:val="22"/>
        </w:rPr>
        <w:t>” avente il significato di “CCNL piccole e medie imprese del settore alimentare – FEDARCOM, UNITERZIARIO, UNIPMI”.</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475</w:t>
      </w:r>
      <w:r w:rsidRPr="000F501F">
        <w:rPr>
          <w:rFonts w:ascii="Bookman Old Style" w:hAnsi="Bookman Old Style" w:cs="Helvetica"/>
          <w:sz w:val="22"/>
          <w:szCs w:val="22"/>
        </w:rPr>
        <w:t>” avente il significato di “CCNL per i dipendenti degli studi odontoiatrici e medico dentistici – AIO”.</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476</w:t>
      </w:r>
      <w:r w:rsidRPr="000F501F">
        <w:rPr>
          <w:rFonts w:ascii="Bookman Old Style" w:hAnsi="Bookman Old Style" w:cs="Helvetica"/>
          <w:sz w:val="22"/>
          <w:szCs w:val="22"/>
        </w:rPr>
        <w:t>” avente il significato di “CCNL per i dipendenti dei laboratori di analisi cliniche e dei centri poliambulatoriali – FEDERLAB”.</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477</w:t>
      </w:r>
      <w:r w:rsidRPr="000F501F">
        <w:rPr>
          <w:rFonts w:ascii="Bookman Old Style" w:hAnsi="Bookman Old Style" w:cs="Helvetica"/>
          <w:sz w:val="22"/>
          <w:szCs w:val="22"/>
        </w:rPr>
        <w:t>” avente il significato di “CCNL per i lavoratori degli organismi di mediazione e degli enti di formazione per mediatori – CONFOMEF”.</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478</w:t>
      </w:r>
      <w:r w:rsidRPr="000F501F">
        <w:rPr>
          <w:rFonts w:ascii="Bookman Old Style" w:hAnsi="Bookman Old Style" w:cs="Helvetica"/>
          <w:sz w:val="22"/>
          <w:szCs w:val="22"/>
        </w:rPr>
        <w:t>” avente il significato di “CCNL per artisti, tecnici, amministrativi e ausiliari dipendenti da società cooperative e imprese sociali operanti nel settore della produzione culturale e dello spettacolo – AGCI CULTURALIA, FEDERCULTURA CONFCOOPERATIVE, LEGACOOP SETTORE CULTURA”.</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“479”</w:t>
      </w:r>
      <w:r w:rsidRPr="000F501F">
        <w:rPr>
          <w:rFonts w:ascii="Bookman Old Style" w:hAnsi="Bookman Old Style" w:cs="Helvetica"/>
          <w:sz w:val="22"/>
          <w:szCs w:val="22"/>
        </w:rPr>
        <w:t> avente il significato di “CCNL per i dipendenti di impianti e attività sportive – CONFEDERAZIONE ITALIANA DELLO SPORT CONFCOMMERCIO IMPRESE PER L’ITALIA”.</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Codice </w:t>
      </w:r>
      <w:r w:rsidRPr="000F501F">
        <w:rPr>
          <w:rFonts w:ascii="Bookman Old Style" w:hAnsi="Bookman Old Style" w:cs="Helvetica"/>
          <w:b/>
          <w:bCs/>
          <w:sz w:val="22"/>
          <w:szCs w:val="22"/>
        </w:rPr>
        <w:t>“480”</w:t>
      </w:r>
      <w:r w:rsidRPr="000F501F">
        <w:rPr>
          <w:rFonts w:ascii="Bookman Old Style" w:hAnsi="Bookman Old Style" w:cs="Helvetica"/>
          <w:sz w:val="22"/>
          <w:szCs w:val="22"/>
        </w:rPr>
        <w:t> avente il significato di “CCNL per i dipendenti del settore turismo e pubblici esercizi – FIDAP IMPRESE”.</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 xml:space="preserve">(INPS, </w:t>
      </w:r>
      <w:r w:rsidRPr="000F501F">
        <w:rPr>
          <w:rFonts w:ascii="Bookman Old Style" w:hAnsi="Bookman Old Style" w:cs="Helvetica"/>
          <w:bCs/>
          <w:sz w:val="22"/>
          <w:szCs w:val="22"/>
        </w:rPr>
        <w:t>messaggio n. 346 del 24 gennaio 2018</w:t>
      </w:r>
      <w:r w:rsidRPr="000F501F">
        <w:rPr>
          <w:rFonts w:ascii="Bookman Old Style" w:hAnsi="Bookman Old Style" w:cs="Helvetica"/>
          <w:sz w:val="22"/>
          <w:szCs w:val="22"/>
        </w:rPr>
        <w:t>)</w:t>
      </w:r>
    </w:p>
    <w:p w:rsidR="006649DC" w:rsidRPr="000F501F" w:rsidRDefault="006649DC" w:rsidP="000F501F">
      <w:pPr>
        <w:shd w:val="clear" w:color="auto" w:fill="FFFFFF"/>
        <w:jc w:val="both"/>
        <w:rPr>
          <w:rFonts w:ascii="Bookman Old Style" w:hAnsi="Bookman Old Style" w:cs="Helvetica"/>
          <w:sz w:val="22"/>
          <w:szCs w:val="22"/>
        </w:rPr>
      </w:pP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u w:val="single"/>
        </w:rPr>
      </w:pPr>
      <w:r w:rsidRPr="000F501F">
        <w:rPr>
          <w:rFonts w:ascii="Bookman Old Style" w:hAnsi="Bookman Old Style" w:cs="Helvetica"/>
          <w:bCs/>
          <w:sz w:val="22"/>
          <w:szCs w:val="22"/>
          <w:u w:val="single"/>
        </w:rPr>
        <w:t>Consolidato ed utilizzo perdite: chiarimenti sull’esercizio dell’opzione e non solo</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rPr>
      </w:pPr>
      <w:r w:rsidRPr="000F501F">
        <w:rPr>
          <w:rFonts w:ascii="Bookman Old Style" w:hAnsi="Bookman Old Style" w:cs="Helvetica"/>
          <w:sz w:val="22"/>
          <w:szCs w:val="22"/>
        </w:rPr>
        <w:t>Chiarimenti del fisco sull’utilizzo delle perdite maturate prima dell’esercizio dell’opzione e sul criterio di attribuzione nell’ipotesi di interruzione o di revoca della tassazione di gruppo.</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rPr>
      </w:pPr>
      <w:r w:rsidRPr="000F501F">
        <w:rPr>
          <w:rFonts w:ascii="Bookman Old Style" w:hAnsi="Bookman Old Style" w:cs="Helvetica"/>
          <w:sz w:val="22"/>
          <w:szCs w:val="22"/>
        </w:rPr>
        <w:t>Nuove indicazioni operative per i contribuenti aderenti alla tassazione di gruppo che vogliono chiedere all’amministrazione finanziaria lo scomputo delle perdite in un procedimento di accertamento.</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rPr>
      </w:pPr>
      <w:r w:rsidRPr="000F501F">
        <w:rPr>
          <w:rFonts w:ascii="Bookman Old Style" w:hAnsi="Bookman Old Style" w:cs="Helvetica"/>
          <w:bCs/>
          <w:sz w:val="22"/>
          <w:szCs w:val="22"/>
        </w:rPr>
        <w:t>L’Agenzia delle entrate</w:t>
      </w:r>
      <w:r w:rsidRPr="000F501F">
        <w:rPr>
          <w:rFonts w:ascii="Bookman Old Style" w:hAnsi="Bookman Old Style" w:cs="Helvetica"/>
          <w:sz w:val="22"/>
          <w:szCs w:val="22"/>
        </w:rPr>
        <w:t>, con la </w:t>
      </w:r>
      <w:r w:rsidRPr="000F501F">
        <w:rPr>
          <w:rFonts w:ascii="Bookman Old Style" w:hAnsi="Bookman Old Style" w:cs="Helvetica"/>
          <w:bCs/>
          <w:sz w:val="22"/>
          <w:szCs w:val="22"/>
        </w:rPr>
        <w:t>circolare n. 2/E del 26 gennaio 2018</w:t>
      </w:r>
      <w:r w:rsidRPr="000F501F">
        <w:rPr>
          <w:rFonts w:ascii="Bookman Old Style" w:hAnsi="Bookman Old Style" w:cs="Helvetica"/>
          <w:sz w:val="22"/>
          <w:szCs w:val="22"/>
        </w:rPr>
        <w:t>, fornisce istruzioni alle imprese consolidate che intendono utilizzare, in diminuzione del maggior imponibile accertato dal Fisco, le perdite maturate prima dell’esercizio dell’opzione per la tassazione consolidata. Nel documento, inoltre, l’Agenzia illustra come ripartire le perdite nei casi di revoca dell’opzione e di interruzione della tassazione di gruppo, se il criterio inizialmente scelto dal contribuente è stato modificato.</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rPr>
      </w:pP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i/>
          <w:sz w:val="22"/>
          <w:szCs w:val="22"/>
        </w:rPr>
      </w:pPr>
      <w:r w:rsidRPr="000F501F">
        <w:rPr>
          <w:rFonts w:ascii="Bookman Old Style" w:hAnsi="Bookman Old Style" w:cs="Helvetica"/>
          <w:bCs/>
          <w:i/>
          <w:sz w:val="22"/>
          <w:szCs w:val="22"/>
        </w:rPr>
        <w:t>Come richiedere lo scomputo delle perdite anteriori al consolidato</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rPr>
      </w:pPr>
      <w:r w:rsidRPr="000F501F">
        <w:rPr>
          <w:rFonts w:ascii="Bookman Old Style" w:hAnsi="Bookman Old Style" w:cs="Helvetica"/>
          <w:sz w:val="22"/>
          <w:szCs w:val="22"/>
        </w:rPr>
        <w:t>L’Agenzia ricorda che, come chiarito con la circolare n. 15/E del 28 aprile 2017, lo scomputo delle perdite dei soggetti aderenti al consolidato anteriori all’esercizio dell’opzione può essere richiesto con il modello Ipea, purché le perdite siano ancora utilizzabili al momento della presentazione di questo modello.</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rPr>
      </w:pP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i/>
          <w:sz w:val="22"/>
          <w:szCs w:val="22"/>
        </w:rPr>
      </w:pPr>
      <w:r w:rsidRPr="000F501F">
        <w:rPr>
          <w:rFonts w:ascii="Bookman Old Style" w:hAnsi="Bookman Old Style" w:cs="Helvetica"/>
          <w:bCs/>
          <w:i/>
          <w:sz w:val="22"/>
          <w:szCs w:val="22"/>
        </w:rPr>
        <w:t>Quali perdite possono essere scomputate dagli accertamenti</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rPr>
      </w:pPr>
      <w:r w:rsidRPr="000F501F">
        <w:rPr>
          <w:rFonts w:ascii="Bookman Old Style" w:hAnsi="Bookman Old Style" w:cs="Helvetica"/>
          <w:sz w:val="22"/>
          <w:szCs w:val="22"/>
        </w:rPr>
        <w:t>In particolare, la consolidata che in dichiarazione ha trasferito una perdita di periodo al consolidato può chiedere a scomputo dell’imponibile accertato con l’atto unico, le proprie perdite anteriori all’esercizio dell’opzione, solo se il maggior imponibile accertato eccede la perdita di periodo trasferita al consolidato. Se invece il maggior imponibile accertato non supera la perdita di periodo trasferita al consolidato le perdite anteriori all’esercizio dell’opzione non possono essere utilizzate in accertamento, ma solo riportate al periodo d’imposta successivo dalla consolidata. In un’ottica di ripristino, tali perdite non avrebbero potuto essere trasferite al consolidato in dichiarazione, ma solo riportate al periodo d’imposta successivo, ai sensi dell’articolo 118, comma 2, del Tuir, che limita espressamente l’utilizzo delle perdite anteriori all’esercizio dell’opzione.</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rPr>
      </w:pPr>
      <w:r w:rsidRPr="000F501F">
        <w:rPr>
          <w:rFonts w:ascii="Bookman Old Style" w:hAnsi="Bookman Old Style" w:cs="Helvetica"/>
          <w:sz w:val="22"/>
          <w:szCs w:val="22"/>
        </w:rPr>
        <w:t>L’Agenzia specifica che comunque la consolidante può richiedere l’utilizzo delle perdite del consolidato presentando il modello Ipec anche in alternativa al modello Ipea della consolidata, fino a concorrenza dell’importo accertato con l’atto unico.</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rPr>
      </w:pP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i/>
          <w:sz w:val="22"/>
          <w:szCs w:val="22"/>
        </w:rPr>
      </w:pPr>
      <w:r w:rsidRPr="000F501F">
        <w:rPr>
          <w:rFonts w:ascii="Bookman Old Style" w:hAnsi="Bookman Old Style" w:cs="Helvetica"/>
          <w:bCs/>
          <w:i/>
          <w:sz w:val="22"/>
          <w:szCs w:val="22"/>
        </w:rPr>
        <w:t>Come attribuire le perdite in caso di interruzione o revoca del consolidato</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rPr>
      </w:pPr>
      <w:r w:rsidRPr="000F501F">
        <w:rPr>
          <w:rFonts w:ascii="Bookman Old Style" w:hAnsi="Bookman Old Style" w:cs="Helvetica"/>
          <w:sz w:val="22"/>
          <w:szCs w:val="22"/>
        </w:rPr>
        <w:t>La circolare chiarisce anche quale criterio di ripartizione delle perdite utilizzare in caso di revoca (o di mancato rinnovo) dell’opzione o interruzione della tassazione di gruppo, se il criterio inizialmente scelto dal contribuente sia stato modificato. L’Agenzia specifica che il criterio da utilizzare è l’ultimo comunicato in sede di opzione o di rinnovo in relazione a tutte le perdite da attribuire al momento dell’evento interruttivo, indipendentemente dal periodo in cui sono maturate.</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bCs/>
          <w:sz w:val="22"/>
          <w:szCs w:val="22"/>
        </w:rPr>
      </w:pPr>
      <w:r w:rsidRPr="000F501F">
        <w:rPr>
          <w:rFonts w:ascii="Bookman Old Style" w:hAnsi="Bookman Old Style" w:cs="Helvetica"/>
          <w:bCs/>
          <w:sz w:val="22"/>
          <w:szCs w:val="22"/>
        </w:rPr>
        <w:t>(Agenzia delle entrate, comunicato n. 6 del 26 gennaio 2018)</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rPr>
      </w:pP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u w:val="single"/>
        </w:rPr>
      </w:pPr>
      <w:r w:rsidRPr="000F501F">
        <w:rPr>
          <w:rFonts w:ascii="Bookman Old Style" w:hAnsi="Bookman Old Style" w:cs="Helvetica"/>
          <w:bCs/>
          <w:sz w:val="22"/>
          <w:szCs w:val="22"/>
          <w:u w:val="single"/>
        </w:rPr>
        <w:t>Calcolo per l’anno 2018 del limite minimo di retribuzione giornaliera</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rPr>
      </w:pPr>
      <w:r w:rsidRPr="000F501F">
        <w:rPr>
          <w:rFonts w:ascii="Bookman Old Style" w:hAnsi="Bookman Old Style" w:cs="Helvetica"/>
          <w:sz w:val="22"/>
          <w:szCs w:val="22"/>
        </w:rPr>
        <w:t>L’INPS, con la circolare n. 13 del 26 gennaio 2018, comunica, relativamente all’anno 2018, i valori del minimale di retribuzione giornaliera, del massimale annuo della base contributiva e pensionabile, del limite per l’accredito dei contributi obbligatori e figurativi, nonché gli altri valori per il calcolo delle contribuzioni dovute in materia di previdenza e assistenza sociale per la generalità dei lavoratori dipendenti iscritti alle gestioni private e pubbliche.</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rPr>
      </w:pPr>
      <w:r w:rsidRPr="000F501F">
        <w:rPr>
          <w:rFonts w:ascii="Bookman Old Style" w:hAnsi="Bookman Old Style" w:cs="Helvetica"/>
          <w:sz w:val="22"/>
          <w:szCs w:val="22"/>
        </w:rPr>
        <w:t>Il reddito da assoggettare a contribuzione, ivi compreso il minimale contrattuale di cui al citato art. 1, co. 1, del D.L. n. 338/1989, deve essere adeguato, se inferiore, al limite minimo di retribuzione giornaliera, che ai sensi di quanto disposto dall’art. 7, co 1, secondo periodo, del D.L. n. 463/1983, conv. in L. n. 638/1983 (come modificato dall’art. 1, co. 2, del D.L. n. 338/1989, conv. in L. n. 389/1989) non può essere inferiore al 9,50% dell’importo del trattamento minimo mensile di pensione a carico del Fondo pensioni lavoratori dipendenti in vigore al 1° gennaio di ciascun anno.</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rPr>
      </w:pPr>
      <w:r w:rsidRPr="000F501F">
        <w:rPr>
          <w:rFonts w:ascii="Bookman Old Style" w:hAnsi="Bookman Old Style" w:cs="Helvetica"/>
          <w:sz w:val="22"/>
          <w:szCs w:val="22"/>
        </w:rPr>
        <w:t>In applicazione delle previsioni di cui al predetto art. 7, D.L. n. 463/1983, anche i valori minimi di retribuzione giornaliera già stabiliti dal legislatore per diversi settori, rivalutati annualmente in relazione all’aumento dell’indice medio del costo della vita (cfr. D.L. n. 402/1981, convertito in L. n. 537/1981), devono essere adeguati al limite minimo di cui al predetto art. 7, co. 1, del D.L. n. 463/1983 se inferiori al medesimo.</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rPr>
      </w:pPr>
      <w:r w:rsidRPr="000F501F">
        <w:rPr>
          <w:rFonts w:ascii="Bookman Old Style" w:hAnsi="Bookman Old Style" w:cs="Helvetica"/>
          <w:sz w:val="22"/>
          <w:szCs w:val="22"/>
        </w:rPr>
        <w:t>Considerato che, nell’anno 2017, la variazione percentuale ai fini della perequazione automatica delle pensioni, calcolata dall’Istat è stata pari all’1,1%, l’INPS riporta nelle tabelle A e B (allegato n. 1) i limiti di retribuzione giornaliera rivalutati, a valere dal periodo di paga in corso all’1.1.2018. Tali limiti, secondo quanto innanzi precisato, devono essere ragguagliati, a € 48,20 (9,5% dell’importo del trattamento minimo mensile di pensione a carico del Fondo pensioni lavoratori dipendenti in vigore al 1.1.2018, pari a € 507,42 mensili) se di importo inferiore.</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bCs/>
          <w:sz w:val="22"/>
          <w:szCs w:val="22"/>
        </w:rPr>
      </w:pPr>
      <w:r w:rsidRPr="000F501F">
        <w:rPr>
          <w:rFonts w:ascii="Bookman Old Style" w:hAnsi="Bookman Old Style" w:cs="Helvetica"/>
          <w:bCs/>
          <w:sz w:val="22"/>
          <w:szCs w:val="22"/>
        </w:rPr>
        <w:t>(INPS, circolare n. 13 del 26 gennaio 2018)</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rPr>
      </w:pP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u w:val="single"/>
        </w:rPr>
      </w:pPr>
      <w:r w:rsidRPr="000F501F">
        <w:rPr>
          <w:rFonts w:ascii="Bookman Old Style" w:hAnsi="Bookman Old Style" w:cs="Helvetica"/>
          <w:bCs/>
          <w:sz w:val="22"/>
          <w:szCs w:val="22"/>
          <w:u w:val="single"/>
        </w:rPr>
        <w:t>Abrogazione dell’Assegno di disoccupazione ASDI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Con la circolare INPS 22 novembre 2017 n.172, vengono descritte le norme sul riordino delle prestazioni assistenziali finalizzate al contrasto alla povertà. In particolare, l’introduzione del Reddito di Inclusione ha avuto effetti sull’assegno di disoccupazione ASDI.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Nel messaggio 17 gennaio 2018 n.196, l’Istituto comunica che in base all’articolo 18, decreto legislativo 15 settembre 2017, n. 147, dal 1° gennaio 2018 l’ASDI è riconosciuto soltanto agli aventi diritto che abbiano, entro tale data, maturato i requisiti previsti dal Decreto interministeriale 29 ottobre 2015.</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Risulta pertanto adeguata la procedura informatica per la gestione dell’ASDI, al fine di valutare ed istruire le domande, verificando la completa fruizione dell’indennità di disoccupazione NASpI.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bCs/>
          <w:sz w:val="22"/>
          <w:szCs w:val="22"/>
        </w:rPr>
      </w:pPr>
      <w:r w:rsidRPr="000F501F">
        <w:rPr>
          <w:rFonts w:ascii="Bookman Old Style" w:hAnsi="Bookman Old Style" w:cs="Helvetica"/>
          <w:bCs/>
          <w:sz w:val="22"/>
          <w:szCs w:val="22"/>
        </w:rPr>
        <w:t>(INPS, nota del 22 gennaio 2018)</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u w:val="single"/>
        </w:rPr>
      </w:pPr>
      <w:r w:rsidRPr="000F501F">
        <w:rPr>
          <w:rFonts w:ascii="Bookman Old Style" w:hAnsi="Bookman Old Style" w:cs="Helvetica"/>
          <w:bCs/>
          <w:sz w:val="22"/>
          <w:szCs w:val="22"/>
          <w:u w:val="single"/>
        </w:rPr>
        <w:t>F24 artigiani e commercianti: in arrivo nel cassetto previdenziale gli F24 per i contributi gennaio 2018</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Lo rende noto </w:t>
      </w:r>
      <w:r w:rsidRPr="000F501F">
        <w:rPr>
          <w:rFonts w:ascii="Bookman Old Style" w:hAnsi="Bookman Old Style" w:cs="Helvetica"/>
          <w:bCs/>
          <w:sz w:val="22"/>
          <w:szCs w:val="22"/>
        </w:rPr>
        <w:t>l’INPS</w:t>
      </w:r>
      <w:r w:rsidRPr="000F501F">
        <w:rPr>
          <w:rFonts w:ascii="Bookman Old Style" w:hAnsi="Bookman Old Style" w:cs="Helvetica"/>
          <w:sz w:val="22"/>
          <w:szCs w:val="22"/>
        </w:rPr>
        <w:t> con il </w:t>
      </w:r>
      <w:r w:rsidRPr="000F501F">
        <w:rPr>
          <w:rFonts w:ascii="Bookman Old Style" w:hAnsi="Bookman Old Style" w:cs="Helvetica"/>
          <w:bCs/>
          <w:sz w:val="22"/>
          <w:szCs w:val="22"/>
        </w:rPr>
        <w:t>messaggio 319 del 23 gennaio 2018</w:t>
      </w:r>
      <w:r w:rsidRPr="000F501F">
        <w:rPr>
          <w:rFonts w:ascii="Bookman Old Style" w:hAnsi="Bookman Old Style" w:cs="Helvetica"/>
          <w:sz w:val="22"/>
          <w:szCs w:val="22"/>
        </w:rPr>
        <w:t>, relativo alla “Gestione Artigiani e Commercianti – Imposizione contributiva, emissione in corso anno d’imposta 2017 – Elaborazione di Gennaio 2018.</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Facendo seguito alla circolare n° 22 del 31.01.2017, avente ad oggetto “La contribuzione dovuta per l’anno 2017 dagli Artigiani e dagli Esercenti attività commerciali”, si comunica che è stata ultimata una nuova elaborazione dell’imposizione contributiva per tutti i soggetti iscritti alla gestione per l’anno 2017 e per eventuali periodi precedenti non già interessati da imposizione contributiva.</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A seguito della predetta attività sono stati predisposti i modelli “F24” necessari per il versamento della contribuzione dovuta secondo le disposizioni di cui alla citata circolare.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Detti modelli F24 saranno disponibili, in versione precompilata, nel Cassetto Previdenziale per Artigiani e Commercianti alla sezione “Posizione assicurativa” – “Dati del modello F24”, dove sarà possibile consultare anche il prospetto di sintesi degli importi dovuti con le relative scadenze e causali di pagamento.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E’ previsto, inoltre, l’invio di e-mail di alert ai titolari di posizione assicurativa, ovvero loro intermediari delegati, per i quali si è in possesso di recapito e-mail.</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L’accesso ai Servizi del Cassetto Previdenziale per Artigiani e Commercianti avviene, come di consueto, tramite PIN del soggetto titolare di posizione contributiva ovvero di un suo intermediario in possesso di delega in corso di validità.</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w:t>
      </w:r>
      <w:r w:rsidRPr="000F501F">
        <w:rPr>
          <w:rFonts w:ascii="Bookman Old Style" w:hAnsi="Bookman Old Style" w:cs="Helvetica"/>
          <w:bCs/>
          <w:sz w:val="22"/>
          <w:szCs w:val="22"/>
        </w:rPr>
        <w:t>INPS,</w:t>
      </w:r>
      <w:r w:rsidRPr="000F501F">
        <w:rPr>
          <w:rFonts w:ascii="Bookman Old Style" w:hAnsi="Bookman Old Style" w:cs="Helvetica"/>
          <w:sz w:val="22"/>
          <w:szCs w:val="22"/>
        </w:rPr>
        <w:t> </w:t>
      </w:r>
      <w:r w:rsidRPr="000F501F">
        <w:rPr>
          <w:rFonts w:ascii="Bookman Old Style" w:hAnsi="Bookman Old Style" w:cs="Helvetica"/>
          <w:bCs/>
          <w:sz w:val="22"/>
          <w:szCs w:val="22"/>
        </w:rPr>
        <w:t>messaggio 319 del 23 gennaio 2018</w:t>
      </w:r>
      <w:r w:rsidRPr="000F501F">
        <w:rPr>
          <w:rFonts w:ascii="Bookman Old Style" w:hAnsi="Bookman Old Style" w:cs="Helvetica"/>
          <w:sz w:val="22"/>
          <w:szCs w:val="22"/>
        </w:rPr>
        <w:t>)</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u w:val="single"/>
        </w:rPr>
      </w:pPr>
      <w:r w:rsidRPr="000F501F">
        <w:rPr>
          <w:rFonts w:ascii="Bookman Old Style" w:hAnsi="Bookman Old Style" w:cs="Helvetica"/>
          <w:bCs/>
          <w:sz w:val="22"/>
          <w:szCs w:val="22"/>
          <w:u w:val="single"/>
        </w:rPr>
        <w:t>Sanzionabile lo sdoganamento “post” di merce allo stato estero scortata da documento di transito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Se la merce allo stato estero, scortata da documento di transito “T1” non viene, per errore o negligenza, presentata in tempo alla dogana di destinazione, ma della quale venga invece richiesta, con apposita istanza a posteriori, l’immissione in libera pratica, verrà applicata la prevista sanzione.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bCs/>
          <w:sz w:val="22"/>
          <w:szCs w:val="22"/>
        </w:rPr>
        <w:t>L’Agenzia delle dogane</w:t>
      </w:r>
      <w:r w:rsidRPr="000F501F">
        <w:rPr>
          <w:rFonts w:ascii="Bookman Old Style" w:hAnsi="Bookman Old Style" w:cs="Helvetica"/>
          <w:sz w:val="22"/>
          <w:szCs w:val="22"/>
        </w:rPr>
        <w:t> ha pubblicato il </w:t>
      </w:r>
      <w:r w:rsidRPr="000F501F">
        <w:rPr>
          <w:rFonts w:ascii="Bookman Old Style" w:hAnsi="Bookman Old Style" w:cs="Helvetica"/>
          <w:bCs/>
          <w:sz w:val="22"/>
          <w:szCs w:val="22"/>
        </w:rPr>
        <w:t>22 gennaio 2018</w:t>
      </w:r>
      <w:r w:rsidRPr="000F501F">
        <w:rPr>
          <w:rFonts w:ascii="Bookman Old Style" w:hAnsi="Bookman Old Style" w:cs="Helvetica"/>
          <w:sz w:val="22"/>
          <w:szCs w:val="22"/>
        </w:rPr>
        <w:t> la nota n. 125443 del 5 gennaio 2018 su “Sdoganamento a posteriori di merce allo stato estero scortata da documento di transito T1”.</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Un operatore ha posto un quesito circa l’applicazione di sanzioni nel caso in cui merce allo stato estero, scortata da documento di transito “T1”, non venga, per errore o negligenza, tempestivamente presentata alla dogana di destinazione, ma della quale venga invece richiesta, con apposita istanza a posteriori, l’immissione in libera pratica e, in particolare, se alla fattispecie sia applicabile la sanzione di cui all’art. 305, 1°co. o quella di cui all’art. 318 T.U.L.D.</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Come noto, l’art. 305, 1°co., T.U.L.D dispone che &lt;&lt;Qualora le merci spedite da una dogana all’altra con bolletta di cauzione non vengano presentate alla dogana di destinazione&gt;&gt; lo speditore è soggetto alla sanzione amministrativa dal dieci al cento per cento dell’ammontare dei diritti di confine, mentre l’art. 318 T.U.L.D. punisce &lt;&lt;chi omette di fare la dichiarazione prescritta dall’art. 56 nel termine stabilito&gt;&gt;. L’art. 56 T.U.L.D., a sua volta, rinvia all’abrogato art. 64 Reg. CE 2913/1992, sostituito dall’art. 162 del Reg. UE 952/2013 (CDU).</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Secondo le Dogane, al caso prospettato non può applicarsi l’art. 305 T.U.L.D., 1°co.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Ed infatti, detta norma deve ritenersi applicabile (non al mero ritardo nell’appuramento) ma al caso in cui la merce non sia stata affatto presentata alla dogana di destinazione, per un fatto colposo (giacché se fossero ravvisabili gli estremi del comportamento doloso si sarebbe in presenza di contrabbando). Solo così, infatti, può giustificarsi l’irrogazione di una sanzione a carico (non del destinatario della stessa), ma dello speditore “mittente”. In sostanza, poiché né il destinatario né la merce sono agevolmente reperibili, la legge addossa la sanzione all’ultimo soggetto noto, cioè allo speditore “mittente”.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Né sembra giustificare una conclusione diversa la lettera dell’art. 233, par. 3, del CDU, laddove è previsto l’obbligo di presentazione all’Ufficio di destinazione nel termine prescritto anche a carico dei destinatari o degli spedizionieri delle merci in transito.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Ciò, in primo luogo, perché, in materia di sanzioni, vi è competenza esclusiva degli Stati e l’Unione Europea si limita a prevedere criteri orientativi del potere discrezionale del legislatore interno (art. 42 CDU). In secondo luogo, poi, perché la violazione dell’obbligo previsto dall’art. 233 del CDU giustificherebbe, se applicabile, la solidarietà tra i debitori per i dazi ex art. 84 CDU, ma non potrebbe ritenersi fondante una responsabilità per la sanzione amministrativa che, essendo basata sul criterio di stretta legalità, può irrogarsi esclusivamente al soggetto indicato dalla norma, cioè allo speditore.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In sintesi, dunque, qualora merce allo stato estero, scortata da documento di transito “T1” non venga, per errore o negligenza, tempestivamente presentata alla dogana di destinazione, ma della quale venga invece richiesta, con apposita istanza a posteriori, l’immissione in libera pratica, sarà applicabile la sanzione prevista dall’art. 318 T.U.L.D., e non quella di cui all’art. 305, 1°co., stesso testo normativo.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Infine, viene ricordato che la disciplina del recupero dei dazi resta esclusivamente stabilita dalla relativa normativa unionale e che entrambe le sanzioni di cui si è discusso sono soggette alla disciplina del ravvedimento operoso ex art. 13 472/1997, ove ne ricorrano le condizioni.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w:t>
      </w:r>
      <w:r w:rsidRPr="000F501F">
        <w:rPr>
          <w:rFonts w:ascii="Bookman Old Style" w:hAnsi="Bookman Old Style" w:cs="Helvetica"/>
          <w:bCs/>
          <w:sz w:val="22"/>
          <w:szCs w:val="22"/>
        </w:rPr>
        <w:t>Agenzia delle dogane,</w:t>
      </w:r>
      <w:r w:rsidRPr="000F501F">
        <w:rPr>
          <w:rFonts w:ascii="Bookman Old Style" w:hAnsi="Bookman Old Style" w:cs="Helvetica"/>
          <w:sz w:val="22"/>
          <w:szCs w:val="22"/>
        </w:rPr>
        <w:t> </w:t>
      </w:r>
      <w:r w:rsidRPr="000F501F">
        <w:rPr>
          <w:rFonts w:ascii="Bookman Old Style" w:hAnsi="Bookman Old Style" w:cs="Helvetica"/>
          <w:bCs/>
          <w:sz w:val="22"/>
          <w:szCs w:val="22"/>
        </w:rPr>
        <w:t>22 gennaio 2018</w:t>
      </w:r>
      <w:r w:rsidRPr="000F501F">
        <w:rPr>
          <w:rFonts w:ascii="Bookman Old Style" w:hAnsi="Bookman Old Style" w:cs="Helvetica"/>
          <w:sz w:val="22"/>
          <w:szCs w:val="22"/>
        </w:rPr>
        <w:t> nota n. 125443 del 5 gennaio 201)</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u w:val="single"/>
        </w:rPr>
      </w:pPr>
      <w:r w:rsidRPr="000F501F">
        <w:rPr>
          <w:rFonts w:ascii="Bookman Old Style" w:hAnsi="Bookman Old Style" w:cs="Helvetica"/>
          <w:bCs/>
          <w:sz w:val="22"/>
          <w:szCs w:val="22"/>
          <w:u w:val="single"/>
        </w:rPr>
        <w:t>Modifiche del codice dell’amministrazione digitale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E’ stato pubblicato il decreto legislativo 13 dicembre 2017, n. 217, con cui vengono integrate e modificate alcune disposizioni del codice dell’amministrazione digitale (Cad) di cui al decreto legislativo 7 marzo 2005, n. 82, nell’ambito della delega conferita al governo in materia di riorganizzazione delle amministrazioni pubbliche (articolo 1, Legge 124/2015).</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Si tratta del provvedimento previsto e correttivo del decreto legislativo 26 agosto 2016, n. 179, con cui erano state già apportate alcune modifiche al Cad dando attuazione in prima battuta alla legge delega.</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Anzitutto il nuovo decreto amplia l’ambito di applicazione soggettivo del Cad. Viene specificato che tra le pubbliche amministrazioni sono comprese le autorità di sistema portuale e le autorità amministrative indipendenti di garanzia, vigilanza e regolazione. Le disposizioni del Cad si applicano inoltre in generale ai gestori di servizi pubblici, comprese le società quotate, in relazione ai servizi di pubblico interesse mentre la versione precedente prevedeva che ai gestori di servizi pubblici si applicasse solo il capo V relativo all’accesso ai documenti informatici e la fruibilità delle informazioni digitali. Viene mantenuta l’applicazione del Cad alle società a controllo pubblico, escluse le società quotate che non siano gestori di servizi pubblici.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Tra le disposizioni di rilievo vi è quella sul domicilio digitale definito come indirizzo elettronico eletto presso un servizio di posta elettronica certificata o un servizio elettronico di recapito certificato qualificato, come definito dal regolamento eIDAS, valido ai fini delle comunicazioni aventi valore legale. Le amministrazioni, i professionisti tenuti all’iscrizione in albi ed elenchi e i soggetti tenuti all’iscrizione al registro delle imprese hanno l’obbligo di dotarsi di un domicilio digitale. Per gli altri soggetti vi è la facoltà di eleggere il proprio domicilio digitale. È istituito un elenco pubblico dei domicili digitali delle persone fisiche e degli altri enti di diritto privato non tenuti all’iscrizione in albi professionali o nel registro delle imprese, nel quale sono indicati i domicili eletti; la realizzazione e gestione sono affidate ad Agid. Con riferimento all’elenco pubblico della pubblica amministrazione e dei gestori di servizi pubblici viene modificata la dicitura “Indice degli indirizzi” con “Indice dei domicili digitali”. L’elenco dei domicili digitali delle imprese e i professionisti è l’indice nazionale dei domicili digitali (INI-PEC) presso il Ministero per lo sviluppo economico. Le comunicazioni tramite i domicili digitali sono effettuate agli indirizzi inseriti negli elenchi e producono sia riguardo al momento della spedizione che del ricevimento, gli stessi effetti giuridici delle comunicazioni a mezzo raccomandata con ricevuta di ritorno ed equivalgono alla notificazione per mezzo della posta. Viene abrogata la previsione dell’obbligo di inserire il domicilio digitale nell’anagrafe nazionale della popolazione residente in quanto ancora in fase di sviluppo e implementazione.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Con riferimento al documento informatico viene modificata la disciplina relativa alla validità e all’efficacia probatoria prevedendo che il documento informatico soddisfa il requisito della forma scritta e ha l’efficacia della scrittura privata quando è apposta una firma digitale o un altro tipo di firma elettronica qualificata o una firma elettronica avanzata o quando il documento è formato previa identificazione informatica del suo autore attraverso un processo che rispetti i requisiti fissati da Agid. In tutti gli altri casi l’idoneità del documento informatico a soddisfare la forma scritta e il suo valore probatorio sono liberamente valutabili in giudizio in relazione alle caratteristiche di sicurezza, integrità e immodificabilità.</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E’ istituito presso l’Agid l’ufficio del difensore civico per il digitale (prima era individuato nelle singole PA tra i dirigenti) a cui chiunque può presentare segnalazioni relative a presunte violazioni del Cad e di ogni altra norma in materia di digitalizzazione e innovazione della PA.</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Viene infine realizzata presso Agid una piattaforma per la consultazione pubblica e il confronto tra i portatori di interesse in relazione ai provvedimenti connessi all’attuazione dell’agenda digitale. Sulla stessa piattaforma viene pubblicato il piano triennale che viene aggiornato di anno in anno.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bCs/>
          <w:sz w:val="22"/>
          <w:szCs w:val="22"/>
        </w:rPr>
      </w:pPr>
      <w:r w:rsidRPr="000F501F">
        <w:rPr>
          <w:rFonts w:ascii="Bookman Old Style" w:hAnsi="Bookman Old Style" w:cs="Helvetica"/>
          <w:bCs/>
          <w:sz w:val="22"/>
          <w:szCs w:val="22"/>
        </w:rPr>
        <w:t>(Assonime, nota del 19 gennaio 2018)</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u w:val="single"/>
        </w:rPr>
      </w:pPr>
      <w:r w:rsidRPr="000F501F">
        <w:rPr>
          <w:rFonts w:ascii="Bookman Old Style" w:hAnsi="Bookman Old Style" w:cs="Helvetica"/>
          <w:bCs/>
          <w:sz w:val="22"/>
          <w:szCs w:val="22"/>
          <w:u w:val="single"/>
        </w:rPr>
        <w:t>Congedo obbligatorio del padre lavoratore passa a 4 giorni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Sulla base della legge di Bilancio 2017 (legge n. 232/16), la durata del congedo obbligatorio per il padre lavoratore dipendente (che può essere goduto anche in via non continuativa) sarà aumentata a quattro giorni dall’anno 2018. Per l’anno 2018 il padre lavoratore dipendente può astenersi per un periodo ulteriore di un giorno previo accordo con la madre e in sua sostituzione in relazione al periodo di astensione obbligatoria spettante a quest’ultima.</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i/>
          <w:sz w:val="22"/>
          <w:szCs w:val="22"/>
        </w:rPr>
      </w:pPr>
      <w:r w:rsidRPr="000F501F">
        <w:rPr>
          <w:rFonts w:ascii="Bookman Old Style" w:hAnsi="Bookman Old Style" w:cs="Helvetica"/>
          <w:sz w:val="22"/>
          <w:szCs w:val="22"/>
        </w:rPr>
        <w:br/>
      </w:r>
      <w:r w:rsidRPr="000F501F">
        <w:rPr>
          <w:rFonts w:ascii="Bookman Old Style" w:hAnsi="Bookman Old Style" w:cs="Helvetica"/>
          <w:bCs/>
          <w:i/>
          <w:sz w:val="22"/>
          <w:szCs w:val="22"/>
        </w:rPr>
        <w:t>Legge n. 232/16 art. 1 comma 354.</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L’applicazione delle disposizioni concernenti il congedo obbligatorio per il padre lavoratore dipendente, da fruire entro i cinque mesi dalla nascita del figlio, introdotte in via sperimentale per gli anni 2013, 2014 e 2015 dall’articolo 4, comma 24, lettera a), della legge 28 giugno 2012, n. 92, nonché, per l’anno 2016, dall’articolo 1, comma 205, della legge 28 dicembre 2015, n. 208, è prorogata anche per gli anni 2017 e 2018. La durata del congedo obbligatorio per il padre lavoratore dipendente è aumentata a due giorni per l’anno 2017 e a quattro giorni per l’anno 2018, che possono essere goduti anche in via non continuativa; al medesimo congedo si applica la disciplina di cui al decreto del Ministro del Lavoro e delle Politiche Sociali 22 dicembre 2012, pubblicato nella Gazzetta Ufficiale n. 37 del 13 febbraio 2013. Per l’anno 2018 il padre lavoratore dipendente può astenersi per un periodo ulteriore di un giorno previo accordo con la madre e in sua sostituzione in relazione al periodo di astensione obbligatoria spettante a quest’ultima. Alla copertura degli oneri derivanti dai primi tre periodi del presente comma, valutati in 20 milioni di euro per l’anno 2017 e alla parziale copertura degli oneri derivanti dai primi tre periodi del presente comma, valutati in 41,2 milioni di euro per l’anno 2018, si provvede, quanto a 20 milioni di euro per l’anno 2017 e a 31,2 milioni di euro per l’anno 2018, mediante corrispondente riduzione del Fondo sociale per occupazione e formazione, di cui all’articolo 18, comma 1, lettera a), del decreto-legge 29 novembre 2008, n. 185, convertito, con modificazioni, dalla legge 28 gennaio 2009, n. 2.</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bCs/>
          <w:sz w:val="22"/>
          <w:szCs w:val="22"/>
        </w:rPr>
      </w:pPr>
      <w:r w:rsidRPr="000F501F">
        <w:rPr>
          <w:rFonts w:ascii="Bookman Old Style" w:hAnsi="Bookman Old Style" w:cs="Helvetica"/>
          <w:bCs/>
          <w:sz w:val="22"/>
          <w:szCs w:val="22"/>
        </w:rPr>
        <w:t>(Consiglio nazionale dei consulenti del lavoro, comunicato del 17 gennaio 2018)</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u w:val="single"/>
        </w:rPr>
      </w:pPr>
      <w:r w:rsidRPr="000F501F">
        <w:rPr>
          <w:rFonts w:ascii="Bookman Old Style" w:hAnsi="Bookman Old Style" w:cs="Helvetica"/>
          <w:bCs/>
          <w:sz w:val="22"/>
          <w:szCs w:val="22"/>
          <w:u w:val="single"/>
        </w:rPr>
        <w:t>Notariato: al via il registro digitale degli atti di designazione degli amministratori di sostegno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Al via il Registro pubblico sussidiario per gli atti di designazione degli amministratori di sostegno (A.D.S.) stipulati dai notai.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A partire dal 1° gennaio 2018 tutte le nuove designazioni fatte con atto pubblico informatico o scrittura privata autenticata saranno inserite in un registro dedicato che consentirà a qualsiasi notaio italiano di verificare l’esistenza di tali atti e presso quale collega sono depositati. Per gli atti stipulati dal 1° gennaio l’inserimento dovrà avvenire entro 30 giorni, mentre l’inserimento degli atti stipulati anteriormente al 2018 avverrà entro il 30 giugno 2018.</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 xml:space="preserve">Fino </w:t>
      </w:r>
      <w:r>
        <w:rPr>
          <w:rFonts w:ascii="Bookman Old Style" w:hAnsi="Bookman Old Style" w:cs="Helvetica"/>
          <w:sz w:val="22"/>
          <w:szCs w:val="22"/>
        </w:rPr>
        <w:t>ad ora</w:t>
      </w:r>
      <w:r w:rsidRPr="000F501F">
        <w:rPr>
          <w:rFonts w:ascii="Bookman Old Style" w:hAnsi="Bookman Old Style" w:cs="Helvetica"/>
          <w:sz w:val="22"/>
          <w:szCs w:val="22"/>
        </w:rPr>
        <w:t xml:space="preserve"> non è stato possibile accedere agli atti di designazione degli amministratori di sostegno se non attraverso la produzione diretta al giudice di una copia dell’atto. E’ evidente, però, come questo abbia reso di fatto inutilizzabile la designazione fatta dall’interessato tutte le volte in cui la copia veniva smarrita o in cui il giudice non veniva informato. Attraverso questo registro, invece, ogni notaio, ed in prospettiva ogni giudice, potrà facilmente e velocemente verificarne l’esistenza, assicurando così maggiore tutela alla volontà della persona.</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Si tratta della prima fase di un progetto più ampio del Notariato finalizzato alla creazione di registri pubblici sussidiari digitali per l’archiviazione e la raccolta di atti notarili, privi di pubblicità legale, che contengono dati e informazioni d’interesse pubblico. La piattaforma è stata realizzata dalla Notartel, la società di informatica del Notariato.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Il contenuto del registro verrà ordinato in modo da consentirne una ricerca efficiente su base personale e potrà essere condiviso da tutti i notai e altri soggetti qualificati, come le singole Aziende Sanitarie Locali, al fine di rendere immediata la conoscibilità della volontà espressa dal designatario. Il Consiglio Nazionale provvederà a stabilire, tramite apposite convenzioni con il Ministero della Giustizia e della Salute, le modalità con le quali il registro potrà essere messo a disposizione dei singoli Giudici competenti e delle strutture sanitarie, al fine di consentire loro un accesso diretto alle informazioni.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bCs/>
          <w:sz w:val="22"/>
          <w:szCs w:val="22"/>
        </w:rPr>
      </w:pPr>
      <w:r w:rsidRPr="000F501F">
        <w:rPr>
          <w:rFonts w:ascii="Bookman Old Style" w:hAnsi="Bookman Old Style" w:cs="Helvetica"/>
          <w:bCs/>
          <w:sz w:val="22"/>
          <w:szCs w:val="22"/>
        </w:rPr>
        <w:t>(Consiglio Nazionale del Notariato, comunicato del 16 gennaio 2018)</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u w:val="single"/>
        </w:rPr>
      </w:pPr>
      <w:r w:rsidRPr="000F501F">
        <w:rPr>
          <w:rFonts w:ascii="Bookman Old Style" w:hAnsi="Bookman Old Style" w:cs="Helvetica"/>
          <w:bCs/>
          <w:sz w:val="22"/>
          <w:szCs w:val="22"/>
          <w:u w:val="single"/>
        </w:rPr>
        <w:t>Attività di autoriparazione: maggiore libertà di intraprendere iniziative imprenditoriali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Il </w:t>
      </w:r>
      <w:hyperlink r:id="rId17" w:tgtFrame="_blank" w:history="1">
        <w:r w:rsidRPr="000F501F">
          <w:rPr>
            <w:rStyle w:val="Hyperlink"/>
            <w:rFonts w:ascii="Bookman Old Style" w:hAnsi="Bookman Old Style" w:cs="Helvetica"/>
            <w:color w:val="auto"/>
            <w:sz w:val="22"/>
            <w:szCs w:val="22"/>
          </w:rPr>
          <w:t>Ministero dello sviluppo economico con la circolare n. 3703/C del 9 gennaio 2018</w:t>
        </w:r>
      </w:hyperlink>
      <w:r w:rsidRPr="000F501F">
        <w:rPr>
          <w:rFonts w:ascii="Bookman Old Style" w:hAnsi="Bookman Old Style" w:cs="Helvetica"/>
          <w:sz w:val="22"/>
          <w:szCs w:val="22"/>
        </w:rPr>
        <w:t> si sofferma sulle modifiche normative in materia di attività di autoriparazione (L.224/2012).</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Con l’art. 1, comma 1132, punto d) della Legge 27 dicembre 2017, n. 205 (Bilancio di previsione dello Stato per l’anno finanziario 2018 e bilancio pluriennale per il triennio 2018-2020) sono state apportate delle modifiche alla L. 11 dicembre 2012, n.224, che qui di seguito si riportano integralmente: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 alla legge 11 dicembre 2012, n. 224, sono apportate le seguenti modificazioni: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1) all’articolo 2, sono aggiunti, infine, i seguenti commi: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 1-bis. Entro il 1° luglio 2018, le regioni e le province autonome di Trento e di Bolzano attivano i corsi regionali di cui all’articolo 7, comma 2, lettera b), della legge 5 febbraio 1992, n. 122, per le attività di cui all’articolo 1, comma 3, della medesima legge, come sostituito dall’articolo 1 della presente legge, previa definizione di livelli minimi comuni, mediante accordo stipulato in sede di Conferenza permanente per i rapporti tra lo Stato, le regioni e le province autonome di Trento e di Bolzano, sentite le organizzazioni sindacali di categoria maggiormente rappresentative, in conformità ai principi stabiliti dalla legge 21 dicembre 1978, n. 845.</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1-ter. Per le imprese di autoriparazione, già iscritte nel registro delle imprese o nell’albo delle imprese artigiane e abilitate per una o più attività di cui all’articolo 1, comma 3, della legge 5 febbraio 1992, n. 122, come sostituito dall’articolo 1 della presente legge, alla data di entrata in vigore della presente disposizione, la frequentazione, con esito positivo, dei corsi regionali teorico-pratici di qualificazione di cui al comma 1-bis del presente articolo consente l’immediata abilitazione del responsabile tecnico relativamente all’abilitazione non posseduta. A tali imprese non si applica l’articolo 7, comma 2, lettera b), della legge 5 febbraio 1992, n. 122, nella parte in cui si prevede l’esercizio per almeno un anno dell’attività di autoriparazione, come operaio qualificato, alle dipendenze di imprese operanti nel settore nell’arco degli ultimi cinque anni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2) all’articolo 3:</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2.1) al comma 2, le parole: « per i cinque anni » sono sostituite dalle seguenti: « per i dieci anni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2.2) dopo il comma 2 e’ inserito il seguente: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 2-bis. I termini di cui al comma 2 si applicano altresì ai fini della regolarizzazione delle imprese già iscritte, alla data di entrata in vigore della presente legge, nel registro delle imprese o nell’albo delle imprese artigiane e abilitate per una o più attività di cui all’articolo 1, comma 3, lettere a), b) e c), della legge 5 febbraio 1992, n. 122, come sostituito ai sensi dell’articolo 1 della presente legge, che intendano conseguire l’abilitazione anche per una o entrambe le altre attivita’ di cui al medesimo articolo 1, comma 3».</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Con tale normativa il Legislatore ha inteso venire incontro alle reiterate istanze giunte dalle associazioni di categoria miranti a consentire una maggiore libertà di intraprendere iniziative imprenditoriali nel settore in parola.</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Tale spazio di operatività è tuttavia limitato nel tempo (10 anni), è a favore esclusivamente delle imprese già operanti nel settore – seppur limitatamente ad una o più sezioni di cui all’art.1, comma 3 della L.122/1992 – alla data di entrata in vigore della legge 224/2012, ed è condizionato al sostenimento di corsi di qualificazione entro il termine suindicato, di 10 anni.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bCs/>
          <w:sz w:val="22"/>
          <w:szCs w:val="22"/>
        </w:rPr>
      </w:pPr>
      <w:r w:rsidRPr="000F501F">
        <w:rPr>
          <w:rFonts w:ascii="Bookman Old Style" w:hAnsi="Bookman Old Style" w:cs="Helvetica"/>
          <w:bCs/>
          <w:sz w:val="22"/>
          <w:szCs w:val="22"/>
        </w:rPr>
        <w:t>(Ministero dello sviluppo economico, circolare n. 3703/C del 9 gennaio 2018)</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0F501F" w:rsidRDefault="006649DC" w:rsidP="000F501F">
      <w:pPr>
        <w:pStyle w:val="NormalWeb"/>
        <w:shd w:val="clear" w:color="auto" w:fill="FFFFFF"/>
        <w:spacing w:before="0" w:beforeAutospacing="0" w:after="0" w:afterAutospacing="0"/>
        <w:jc w:val="both"/>
        <w:rPr>
          <w:rStyle w:val="Strong"/>
          <w:rFonts w:ascii="Bookman Old Style" w:hAnsi="Bookman Old Style" w:cs="Helvetica"/>
          <w:b w:val="0"/>
          <w:bCs/>
          <w:sz w:val="22"/>
          <w:szCs w:val="22"/>
          <w:u w:val="single"/>
        </w:rPr>
      </w:pPr>
      <w:r w:rsidRPr="000F501F">
        <w:rPr>
          <w:rStyle w:val="Strong"/>
          <w:rFonts w:ascii="Bookman Old Style" w:hAnsi="Bookman Old Style" w:cs="Helvetica"/>
          <w:b w:val="0"/>
          <w:bCs/>
          <w:sz w:val="22"/>
          <w:szCs w:val="22"/>
          <w:u w:val="single"/>
        </w:rPr>
        <w:t>Polo unico per le visite fiscali</w:t>
      </w:r>
    </w:p>
    <w:p w:rsidR="006649DC" w:rsidRPr="000F501F" w:rsidRDefault="006649DC" w:rsidP="000F501F">
      <w:pPr>
        <w:pStyle w:val="NormalWeb"/>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Consultazione esiti visite disposte su iniziativa dell’Inps.</w:t>
      </w:r>
    </w:p>
    <w:p w:rsidR="006649DC" w:rsidRPr="000F501F" w:rsidRDefault="006649DC" w:rsidP="000F501F">
      <w:pPr>
        <w:pStyle w:val="NormalWeb"/>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Nell’ambito delle competenze assegnate all’Inps ai sensi del D. Lgs. n. 75/2017 (Polo unico per le visite fiscali) è previsto che l’Istituto effettui anche d’ufficio, oltre che su richiesta datoriale, i controlli medico legali nei confronti dei lavoratori dipendenti delle Pubbliche Amministrazioni assoggettate alla citata normativa.</w:t>
      </w:r>
    </w:p>
    <w:p w:rsidR="006649DC" w:rsidRPr="000F501F" w:rsidRDefault="006649DC" w:rsidP="000F501F">
      <w:pPr>
        <w:pStyle w:val="NormalWeb"/>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A decorrere dall’entrata in vigore del Polo unico per le visite fiscali, sono state quindi effettuate visite mediche di controllo domiciliare e ambulatoriale su iniziativa dell’Istituto nei casi ritenuti utili per la verifica dello stato di effettiva incapacità temporanea al lavoro.</w:t>
      </w:r>
    </w:p>
    <w:p w:rsidR="006649DC" w:rsidRPr="000F501F" w:rsidRDefault="006649DC" w:rsidP="000F501F">
      <w:pPr>
        <w:pStyle w:val="NormalWeb"/>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In relazione a ciò, sono state apportate modifiche agli applicativi in uso per consentire ai datori di lavoro pubblici la visualizzazione, tramite il sito web dell’Inps, delle visite d’ufficio effettuate nei confronti dei propri dipendenti e dei loro esiti.</w:t>
      </w:r>
    </w:p>
    <w:p w:rsidR="006649DC" w:rsidRPr="000F501F" w:rsidRDefault="006649DC" w:rsidP="000F501F">
      <w:pPr>
        <w:pStyle w:val="NormalWeb"/>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Con il presente messaggio viene comunicato il rilascio della nuova funzionalità e vengono fornite le necessarie istruzioni operative. Si precisa che il nuovo applicativo consentirà alle Pubbliche Amministrazioni interessate di prendere visione di tutti gli accertamenti eseguiti dall’Inps di propria iniziativa a partire dal 1° settembre 2017, data di entrata in vigore del Polo Unico di cui al D.Lgs. 75/2017.</w:t>
      </w:r>
    </w:p>
    <w:p w:rsidR="006649DC" w:rsidRPr="000F501F" w:rsidRDefault="006649DC" w:rsidP="000F501F">
      <w:pPr>
        <w:pStyle w:val="NormalWeb"/>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Al momento e in attesa di ulteriori implementazioni procedurali, rimane confermato quanto precisato nel messaggio n. 4282/2017, cui si rinvia, in merito agli eventuali giustificativi prodotti dal lavoratore in caso di visita medica ambulatoriale disposta per assenza a visita domiciliare.</w:t>
      </w:r>
      <w:r w:rsidRPr="000F501F">
        <w:rPr>
          <w:rFonts w:ascii="Bookman Old Style" w:hAnsi="Bookman Old Style" w:cs="Helvetica"/>
          <w:sz w:val="22"/>
          <w:szCs w:val="22"/>
        </w:rPr>
        <w:br/>
        <w:t>Il datore di lavoro pubblico, al quale compete l’onere della valutazione circa la giustificabilità dell’assenza del lavoratore, può acquisire, per il tramite del lavoratore, il parere tecnico fornito dagli Uffici medico legali dell’Inps, sulla base della documentazione esaminata.</w:t>
      </w:r>
    </w:p>
    <w:p w:rsidR="006649DC" w:rsidRPr="000F501F" w:rsidRDefault="006649DC" w:rsidP="000F501F">
      <w:pPr>
        <w:pStyle w:val="NormalWeb"/>
        <w:shd w:val="clear" w:color="auto" w:fill="FFFFFF"/>
        <w:spacing w:before="0" w:beforeAutospacing="0" w:after="0" w:afterAutospacing="0"/>
        <w:jc w:val="both"/>
        <w:rPr>
          <w:rFonts w:ascii="Bookman Old Style" w:hAnsi="Bookman Old Style" w:cs="Helvetica"/>
          <w:sz w:val="22"/>
          <w:szCs w:val="22"/>
        </w:rPr>
      </w:pPr>
    </w:p>
    <w:p w:rsidR="006649DC" w:rsidRPr="000F501F" w:rsidRDefault="006649DC" w:rsidP="000F501F">
      <w:pPr>
        <w:pStyle w:val="NormalWeb"/>
        <w:shd w:val="clear" w:color="auto" w:fill="FFFFFF"/>
        <w:spacing w:before="0" w:beforeAutospacing="0" w:after="0" w:afterAutospacing="0"/>
        <w:jc w:val="both"/>
        <w:rPr>
          <w:rFonts w:ascii="Bookman Old Style" w:hAnsi="Bookman Old Style" w:cs="Helvetica"/>
          <w:i/>
          <w:sz w:val="22"/>
          <w:szCs w:val="22"/>
        </w:rPr>
      </w:pPr>
      <w:r w:rsidRPr="000F501F">
        <w:rPr>
          <w:rFonts w:ascii="Bookman Old Style" w:hAnsi="Bookman Old Style" w:cs="Helvetica"/>
          <w:i/>
          <w:sz w:val="22"/>
          <w:szCs w:val="22"/>
        </w:rPr>
        <w:t>Istruzioni operative</w:t>
      </w:r>
    </w:p>
    <w:p w:rsidR="006649DC" w:rsidRPr="000F501F" w:rsidRDefault="006649DC" w:rsidP="000F501F">
      <w:pPr>
        <w:pStyle w:val="NormalWeb"/>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Il servizio online di consultazione degli esiti delle visite mediche di controllo (VMC) disposte d’ufficio per la Pubblica Amministrazione è rivolto, come sopra specificato, ai datori di lavoro pubblici (o consulenti delegati) appartenenti alle categorie identificate dal D.Lgs. n. 75/2017.</w:t>
      </w:r>
      <w:r w:rsidRPr="000F501F">
        <w:rPr>
          <w:rFonts w:ascii="Bookman Old Style" w:hAnsi="Bookman Old Style" w:cs="Helvetica"/>
          <w:sz w:val="22"/>
          <w:szCs w:val="22"/>
        </w:rPr>
        <w:br/>
        <w:t>L’accesso è consentito ai soli soggetti in possesso di un PIN rilasciato dall’Istituto o di una Carta Nazionale dei Servizi o di una identità SPID almeno di livello 2 e dotati di specifica abilitazione.</w:t>
      </w:r>
      <w:r w:rsidRPr="000F501F">
        <w:rPr>
          <w:rFonts w:ascii="Bookman Old Style" w:hAnsi="Bookman Old Style" w:cs="Helvetica"/>
          <w:sz w:val="22"/>
          <w:szCs w:val="22"/>
        </w:rPr>
        <w:br/>
        <w:t>L’applicazione è raggiungibile all’indirizzo www.inps.it, ricercando il servizio “Richiesta di visite mediche di controllo”. L’utente, previa autenticazione, potrà quindi accedere alla funzionalità “Esiti Visite d’Ufficio per la PA” esposta sull’home page del Portale delle VMC.</w:t>
      </w:r>
      <w:r w:rsidRPr="000F501F">
        <w:rPr>
          <w:rFonts w:ascii="Bookman Old Style" w:hAnsi="Bookman Old Style" w:cs="Helvetica"/>
          <w:sz w:val="22"/>
          <w:szCs w:val="22"/>
        </w:rPr>
        <w:br/>
        <w:t>La successiva pagina mostra la Pubblica Amministrazione per cui l’utente risulta dipendente o l’insieme delle Pubbliche Amministrazioni per cui si hanno delle deleghe attive. Selezionando la Pubblica Amministrazione per cui si intende lavorare, con la relativa struttura, e cliccando su “Procedi” si possono consultare gli esiti delle VMC richieste d’ufficio.</w:t>
      </w:r>
    </w:p>
    <w:p w:rsidR="006649DC" w:rsidRPr="000F501F" w:rsidRDefault="006649DC" w:rsidP="000F501F">
      <w:pPr>
        <w:pStyle w:val="NormalWeb"/>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Viene quindi mostrata la lista delle visite d’ufficio effettuate, a partire dalle più recenti, con esito ancora da visualizzare. È possibile cambiare i criteri di ricerca usando dei filtri che permettono di ottenere differenti modalità di consultazione. Ogni visita può essere consultata nel dettaglio per visionarne l’esito, verificare le eventuali visite collegate, ad esempio le visite ambulatoriali, e per stampare un riepilogo.</w:t>
      </w:r>
    </w:p>
    <w:p w:rsidR="006649DC" w:rsidRPr="000F501F" w:rsidRDefault="006649DC" w:rsidP="000F501F">
      <w:pPr>
        <w:pStyle w:val="NormalWeb"/>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Per maggiori dettagli si rimanda al manuale utente, scaricabile tramite l’icona del “Manuale Operativo” disponibile nell’intestazione di ogni pagina del servizio.</w:t>
      </w:r>
    </w:p>
    <w:p w:rsidR="006649DC" w:rsidRPr="000F501F" w:rsidRDefault="006649DC" w:rsidP="000F501F">
      <w:pPr>
        <w:pStyle w:val="NormalWeb"/>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(INPS, messaggio n. 137 del 12 gennaio 2018)</w:t>
      </w:r>
    </w:p>
    <w:p w:rsidR="006649DC" w:rsidRPr="000F501F" w:rsidRDefault="006649DC" w:rsidP="000F501F">
      <w:pPr>
        <w:pStyle w:val="NormalWeb"/>
        <w:shd w:val="clear" w:color="auto" w:fill="FFFFFF"/>
        <w:spacing w:before="0" w:beforeAutospacing="0" w:after="0" w:afterAutospacing="0"/>
        <w:jc w:val="both"/>
        <w:rPr>
          <w:rFonts w:ascii="Bookman Old Style" w:hAnsi="Bookman Old Style" w:cs="Helvetica"/>
          <w:sz w:val="22"/>
          <w:szCs w:val="22"/>
        </w:rPr>
      </w:pP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bCs/>
          <w:sz w:val="22"/>
          <w:szCs w:val="22"/>
          <w:u w:val="single"/>
        </w:rPr>
      </w:pPr>
      <w:r w:rsidRPr="000F501F">
        <w:rPr>
          <w:rFonts w:ascii="Bookman Old Style" w:hAnsi="Bookman Old Style" w:cs="Helvetica"/>
          <w:bCs/>
          <w:sz w:val="22"/>
          <w:szCs w:val="22"/>
          <w:u w:val="single"/>
        </w:rPr>
        <w:t xml:space="preserve">Assegno nucleo familiare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Al fine di evitare pratiche speculative l’Istituto ha limitato la possibilità di effettuare il conguaglio in Uniemens delle somme rimborsate, fino al tetto di €. 3000,00 mensili. Nel caso di pagamenti di assegni d’importo superiore, per il rimborso dell’eccedenza si dovrà effettuare una pratica di regolarizzazione tramite la procedura DM10- VIG. Dapprima, occorrerà prelevare il ticket (msg. 4973/16) da agganciare all’Uniemens di variazione e nel quale andrà indicato con il codice L036, l’intero importo degli assegni familiari rimborsati. La differenza a credito dell’azienda che verrà generata dal confronto dei due flussi (Uniemens originale e DM-VIG), potrà essere recuperata secondo le istruzioni che fanno parte dell’altro messaggio in commento con la presente.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bCs/>
          <w:sz w:val="22"/>
          <w:szCs w:val="22"/>
        </w:rPr>
      </w:pPr>
      <w:r w:rsidRPr="000F501F">
        <w:rPr>
          <w:rFonts w:ascii="Bookman Old Style" w:hAnsi="Bookman Old Style" w:cs="Helvetica"/>
          <w:bCs/>
          <w:sz w:val="22"/>
          <w:szCs w:val="22"/>
        </w:rPr>
        <w:t>(Consiglio nazionale dei consulenti del lavoro, nota del 10 gennaio 2018)</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bCs/>
          <w:sz w:val="22"/>
          <w:szCs w:val="22"/>
        </w:rPr>
      </w:pP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u w:val="single"/>
        </w:rPr>
      </w:pPr>
      <w:r w:rsidRPr="000F501F">
        <w:rPr>
          <w:rFonts w:ascii="Bookman Old Style" w:hAnsi="Bookman Old Style" w:cs="Helvetica"/>
          <w:bCs/>
          <w:sz w:val="22"/>
          <w:szCs w:val="22"/>
          <w:u w:val="single"/>
        </w:rPr>
        <w:t>Corresponsione delle retribuzioni o dei compensi: stop al contante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hyperlink r:id="rId18" w:tgtFrame="_blank" w:history="1">
        <w:r w:rsidRPr="000F501F">
          <w:rPr>
            <w:rStyle w:val="Hyperlink"/>
            <w:rFonts w:ascii="Bookman Old Style" w:hAnsi="Bookman Old Style" w:cs="Helvetica"/>
            <w:color w:val="auto"/>
            <w:sz w:val="22"/>
            <w:szCs w:val="22"/>
          </w:rPr>
          <w:t>L’art. 1, commi 910-914 della Legge n. 205/17 (Legge di bilancio 2018)</w:t>
        </w:r>
      </w:hyperlink>
      <w:r w:rsidRPr="000F501F">
        <w:rPr>
          <w:rFonts w:ascii="Bookman Old Style" w:hAnsi="Bookman Old Style" w:cs="Helvetica"/>
          <w:sz w:val="22"/>
          <w:szCs w:val="22"/>
        </w:rPr>
        <w:t> viene ad impattare sulle modalità di corresponsione delle retribuzioni e dei compensi ai lavoratori.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I datori di lavoro o committenti non possono corrispondere la retribuzione per mezzo di denaro contante direttamente al lavoratore, qualunque sia la tipologia del rapporto di lavoro instaurato.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In particolare a decorrere dal 1° luglio 2018 i datori di lavoro o committenti corrispondono ai lavoratori la retribuzione e ogni anticipo di essa, attraverso una banca o un ufficio postale con uno dei seguenti mezzi: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a) bonifico sul conto identificato dal codice IBAN indicato dal lavoratore;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b) strumenti di pagamento elettronico;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c) pagamento in contanti presso uno sportello bancario o postale dove il datore di lavoro abbia aperto un conto corrente di tesoreria con mandato di pagamento;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d) emissione di un assegno consegnato direttamente al lavoratore, o in caso di suo comprovato impedimento, ad un suo delegato. L’impedimento si intende comprovato quando il delegato a ricevere il pagamento è il coniuge, il convivente o un familiare, in linea retta o collaterale del lavoratore, purché di età non inferiore a sedici anni.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La firma apposta sulla busta paga non costituisce prova dell’avvenuto pagamento della retribuzione.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La violazione del predetto obbligo comporta la sanzione amministrativa di una somma pecuniaria da 1000 a 5000 euro.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bCs/>
          <w:sz w:val="22"/>
          <w:szCs w:val="22"/>
        </w:rPr>
      </w:pPr>
      <w:r w:rsidRPr="000F501F">
        <w:rPr>
          <w:rFonts w:ascii="Bookman Old Style" w:hAnsi="Bookman Old Style" w:cs="Helvetica"/>
          <w:bCs/>
          <w:sz w:val="22"/>
          <w:szCs w:val="22"/>
        </w:rPr>
        <w:t>(Consiglio nazionale dei consulenti del lavoro, comunicato del 9 gennaio 2018)</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0F501F" w:rsidRDefault="006649DC" w:rsidP="000F501F">
      <w:pPr>
        <w:shd w:val="clear" w:color="auto" w:fill="FFFFFF"/>
        <w:jc w:val="both"/>
        <w:rPr>
          <w:rFonts w:ascii="Bookman Old Style" w:hAnsi="Bookman Old Style" w:cs="Helvetica"/>
          <w:sz w:val="22"/>
          <w:szCs w:val="22"/>
          <w:u w:val="single"/>
        </w:rPr>
      </w:pPr>
      <w:r w:rsidRPr="000F501F">
        <w:rPr>
          <w:rFonts w:ascii="Bookman Old Style" w:hAnsi="Bookman Old Style" w:cs="Helvetica"/>
          <w:bCs/>
          <w:sz w:val="22"/>
          <w:szCs w:val="22"/>
          <w:u w:val="single"/>
        </w:rPr>
        <w:t>Chiarimenti sugli enti no profit: circolare del Ministero Lavoro</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La </w:t>
      </w:r>
      <w:r w:rsidRPr="000F501F">
        <w:rPr>
          <w:rFonts w:ascii="Bookman Old Style" w:hAnsi="Bookman Old Style" w:cs="Helvetica"/>
          <w:bCs/>
          <w:sz w:val="22"/>
          <w:szCs w:val="22"/>
        </w:rPr>
        <w:t>circolare</w:t>
      </w:r>
      <w:r w:rsidRPr="000F501F">
        <w:rPr>
          <w:rFonts w:ascii="Bookman Old Style" w:hAnsi="Bookman Old Style" w:cs="Helvetica"/>
          <w:sz w:val="22"/>
          <w:szCs w:val="22"/>
        </w:rPr>
        <w:t> del </w:t>
      </w:r>
      <w:r w:rsidRPr="000F501F">
        <w:rPr>
          <w:rFonts w:ascii="Bookman Old Style" w:hAnsi="Bookman Old Style" w:cs="Helvetica"/>
          <w:bCs/>
          <w:sz w:val="22"/>
          <w:szCs w:val="22"/>
        </w:rPr>
        <w:t>Ministero del Lavoro</w:t>
      </w:r>
      <w:r w:rsidRPr="000F501F">
        <w:rPr>
          <w:rFonts w:ascii="Bookman Old Style" w:hAnsi="Bookman Old Style" w:cs="Helvetica"/>
          <w:sz w:val="22"/>
          <w:szCs w:val="22"/>
        </w:rPr>
        <w:t> resa nota il </w:t>
      </w:r>
      <w:r w:rsidRPr="000F501F">
        <w:rPr>
          <w:rFonts w:ascii="Bookman Old Style" w:hAnsi="Bookman Old Style" w:cs="Helvetica"/>
          <w:bCs/>
          <w:sz w:val="22"/>
          <w:szCs w:val="22"/>
        </w:rPr>
        <w:t>30 dicembre 2017</w:t>
      </w:r>
      <w:r w:rsidRPr="000F501F">
        <w:rPr>
          <w:rFonts w:ascii="Bookman Old Style" w:hAnsi="Bookman Old Style" w:cs="Helvetica"/>
          <w:sz w:val="22"/>
          <w:szCs w:val="22"/>
        </w:rPr>
        <w:t> si sofferma sull’applicazione delle nuove disposizioni del codice alle organizzazioni di volontariato (Odv) e alle associazioni di promozione sociale (Aps), iscritte negli attuali registri speciali tenuti dalle Regioni, lasciando le istruzioni relative alle Onlus a successivi chiarimenti dell’agenzia delle Entrate.</w:t>
      </w:r>
    </w:p>
    <w:p w:rsidR="006649DC" w:rsidRPr="000F501F" w:rsidRDefault="006649DC" w:rsidP="000F501F">
      <w:pPr>
        <w:shd w:val="clear" w:color="auto" w:fill="FFFFFF"/>
        <w:jc w:val="both"/>
        <w:rPr>
          <w:rFonts w:ascii="Bookman Old Style" w:hAnsi="Bookman Old Style" w:cs="Helvetica"/>
          <w:sz w:val="22"/>
          <w:szCs w:val="22"/>
        </w:rPr>
      </w:pPr>
    </w:p>
    <w:p w:rsidR="006649DC" w:rsidRPr="000F501F" w:rsidRDefault="006649DC" w:rsidP="000F501F">
      <w:pPr>
        <w:shd w:val="clear" w:color="auto" w:fill="FFFFFF"/>
        <w:jc w:val="both"/>
        <w:rPr>
          <w:rFonts w:ascii="Bookman Old Style" w:hAnsi="Bookman Old Style" w:cs="Helvetica"/>
          <w:i/>
          <w:sz w:val="22"/>
          <w:szCs w:val="22"/>
        </w:rPr>
      </w:pPr>
      <w:r w:rsidRPr="000F501F">
        <w:rPr>
          <w:rFonts w:ascii="Bookman Old Style" w:hAnsi="Bookman Old Style" w:cs="Helvetica"/>
          <w:bCs/>
          <w:i/>
          <w:sz w:val="22"/>
          <w:szCs w:val="22"/>
        </w:rPr>
        <w:t>Bilancio d’esercizio</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Tutti gli enti del terzo settore saranno tenuti alla redazione del bilancio di esercizio con facoltà, in caso di entrate inferiori a 220mila euro, di redigere un rendiconto finanziario per cassa. Sul punto la circolare del Lavoro rimarca che, sebbene manchi ancora la modulistica indicata nel Codice del terzo settore, gli enti non saranno esonerati da questo adempimento.</w:t>
      </w:r>
    </w:p>
    <w:p w:rsidR="006649DC" w:rsidRPr="000F501F" w:rsidRDefault="006649DC" w:rsidP="000F501F">
      <w:pPr>
        <w:shd w:val="clear" w:color="auto" w:fill="FFFFFF"/>
        <w:jc w:val="both"/>
        <w:rPr>
          <w:rFonts w:ascii="Bookman Old Style" w:hAnsi="Bookman Old Style" w:cs="Helvetica"/>
          <w:sz w:val="22"/>
          <w:szCs w:val="22"/>
        </w:rPr>
      </w:pPr>
    </w:p>
    <w:p w:rsidR="006649DC" w:rsidRPr="000F501F" w:rsidRDefault="006649DC" w:rsidP="000F501F">
      <w:pPr>
        <w:shd w:val="clear" w:color="auto" w:fill="FFFFFF"/>
        <w:jc w:val="both"/>
        <w:rPr>
          <w:rFonts w:ascii="Bookman Old Style" w:hAnsi="Bookman Old Style" w:cs="Helvetica"/>
          <w:i/>
          <w:sz w:val="22"/>
          <w:szCs w:val="22"/>
        </w:rPr>
      </w:pPr>
      <w:r w:rsidRPr="000F501F">
        <w:rPr>
          <w:rFonts w:ascii="Bookman Old Style" w:hAnsi="Bookman Old Style" w:cs="Helvetica"/>
          <w:bCs/>
          <w:i/>
          <w:sz w:val="22"/>
          <w:szCs w:val="22"/>
        </w:rPr>
        <w:t>Il doppio regime</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Per gli enti costituiti prima dell’entrata in vigore del Codice del terzo settore l’iscrizione negli attuali registri seguirà le vecchie regole precedenti, salvo successiva verifica sul rispetto delle nuove disposizioni che scatterà trascorsi 18 mesi a partire dal 3 agosto 2017 (quindi a inizio febbraio 2019). Gli enti costituiti dopo tale data saranno tenuti , invece, a rispettare le nuove regole del Codice.</w:t>
      </w:r>
    </w:p>
    <w:p w:rsidR="006649DC" w:rsidRPr="000F501F" w:rsidRDefault="006649DC" w:rsidP="000F501F">
      <w:pPr>
        <w:shd w:val="clear" w:color="auto" w:fill="FFFFFF"/>
        <w:jc w:val="both"/>
        <w:rPr>
          <w:rFonts w:ascii="Bookman Old Style" w:hAnsi="Bookman Old Style" w:cs="Helvetica"/>
          <w:sz w:val="22"/>
          <w:szCs w:val="22"/>
        </w:rPr>
      </w:pPr>
    </w:p>
    <w:p w:rsidR="006649DC" w:rsidRPr="000F501F" w:rsidRDefault="006649DC" w:rsidP="000F501F">
      <w:pPr>
        <w:shd w:val="clear" w:color="auto" w:fill="FFFFFF"/>
        <w:jc w:val="both"/>
        <w:rPr>
          <w:rFonts w:ascii="Bookman Old Style" w:hAnsi="Bookman Old Style" w:cs="Helvetica"/>
          <w:i/>
          <w:sz w:val="22"/>
          <w:szCs w:val="22"/>
        </w:rPr>
      </w:pPr>
      <w:r w:rsidRPr="000F501F">
        <w:rPr>
          <w:rFonts w:ascii="Bookman Old Style" w:hAnsi="Bookman Old Style" w:cs="Helvetica"/>
          <w:bCs/>
          <w:i/>
          <w:sz w:val="22"/>
          <w:szCs w:val="22"/>
        </w:rPr>
        <w:t>La costituzione</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La circolare ritiene immediatamente applicabili, per organizzazioni di volontariato e associazioni di promozione sociale costituite dopo l’entrata in vigore del Codice, le regole sui requisiti «sostanziali» degli enti. Ad esempio, quelle relative al numero minimo di soggetti (persone fisiche o organizzazioni) e alla forma giuridica necessari alla loro costituzione.</w:t>
      </w:r>
    </w:p>
    <w:p w:rsidR="006649DC" w:rsidRPr="000F501F" w:rsidRDefault="006649DC" w:rsidP="000F501F">
      <w:pPr>
        <w:shd w:val="clear" w:color="auto" w:fill="FFFFFF"/>
        <w:jc w:val="both"/>
        <w:rPr>
          <w:rFonts w:ascii="Bookman Old Style" w:hAnsi="Bookman Old Style" w:cs="Helvetica"/>
          <w:sz w:val="22"/>
          <w:szCs w:val="22"/>
        </w:rPr>
      </w:pPr>
    </w:p>
    <w:p w:rsidR="006649DC" w:rsidRPr="000F501F" w:rsidRDefault="006649DC" w:rsidP="000F501F">
      <w:pPr>
        <w:shd w:val="clear" w:color="auto" w:fill="FFFFFF"/>
        <w:jc w:val="both"/>
        <w:rPr>
          <w:rFonts w:ascii="Bookman Old Style" w:hAnsi="Bookman Old Style" w:cs="Helvetica"/>
          <w:i/>
          <w:sz w:val="22"/>
          <w:szCs w:val="22"/>
        </w:rPr>
      </w:pPr>
      <w:r w:rsidRPr="000F501F">
        <w:rPr>
          <w:rFonts w:ascii="Bookman Old Style" w:hAnsi="Bookman Old Style" w:cs="Helvetica"/>
          <w:bCs/>
          <w:i/>
          <w:sz w:val="22"/>
          <w:szCs w:val="22"/>
        </w:rPr>
        <w:t>I compensi</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L’obbligo di pubblicazione annuale sul proprio sito internet di emolumenti, compensi o corrispettivi attribuiti dagli enti del Terzo settore a organi di amministrazione e controllo, dirigenti e associati scatterà – secondo la circolare del ministero del Lavoro – dal 1° gennaio 2019 a prescindere dall’operatività del Registro unico nazionale.</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w:t>
      </w:r>
      <w:r w:rsidRPr="000F501F">
        <w:rPr>
          <w:rFonts w:ascii="Bookman Old Style" w:hAnsi="Bookman Old Style" w:cs="Helvetica"/>
          <w:bCs/>
          <w:sz w:val="22"/>
          <w:szCs w:val="22"/>
        </w:rPr>
        <w:t>Ministero del Lavoro, circolare</w:t>
      </w:r>
      <w:r w:rsidRPr="000F501F">
        <w:rPr>
          <w:rFonts w:ascii="Bookman Old Style" w:hAnsi="Bookman Old Style" w:cs="Helvetica"/>
          <w:sz w:val="22"/>
          <w:szCs w:val="22"/>
        </w:rPr>
        <w:t> </w:t>
      </w:r>
      <w:r w:rsidRPr="000F501F">
        <w:rPr>
          <w:rFonts w:ascii="Bookman Old Style" w:hAnsi="Bookman Old Style" w:cs="Helvetica"/>
          <w:bCs/>
          <w:sz w:val="22"/>
          <w:szCs w:val="22"/>
        </w:rPr>
        <w:t>30 dicembre 2017</w:t>
      </w:r>
      <w:r w:rsidRPr="000F501F">
        <w:rPr>
          <w:rFonts w:ascii="Bookman Old Style" w:hAnsi="Bookman Old Style" w:cs="Helvetica"/>
          <w:sz w:val="22"/>
          <w:szCs w:val="22"/>
        </w:rPr>
        <w:t> )</w:t>
      </w:r>
    </w:p>
    <w:p w:rsidR="006649DC" w:rsidRPr="000F501F" w:rsidRDefault="006649DC" w:rsidP="000F501F">
      <w:pPr>
        <w:shd w:val="clear" w:color="auto" w:fill="FFFFFF"/>
        <w:jc w:val="both"/>
        <w:rPr>
          <w:rFonts w:ascii="Bookman Old Style" w:hAnsi="Bookman Old Style" w:cs="Helvetica"/>
          <w:sz w:val="22"/>
          <w:szCs w:val="22"/>
        </w:rPr>
      </w:pPr>
    </w:p>
    <w:p w:rsidR="006649DC" w:rsidRPr="000F501F" w:rsidRDefault="006649DC" w:rsidP="000F501F">
      <w:pPr>
        <w:shd w:val="clear" w:color="auto" w:fill="FFFFFF"/>
        <w:jc w:val="both"/>
        <w:rPr>
          <w:rFonts w:ascii="Bookman Old Style" w:hAnsi="Bookman Old Style" w:cs="Helvetica"/>
          <w:sz w:val="22"/>
          <w:szCs w:val="22"/>
          <w:u w:val="single"/>
        </w:rPr>
      </w:pPr>
      <w:r w:rsidRPr="000F501F">
        <w:rPr>
          <w:rFonts w:ascii="Bookman Old Style" w:hAnsi="Bookman Old Style" w:cs="Helvetica"/>
          <w:bCs/>
          <w:sz w:val="22"/>
          <w:szCs w:val="22"/>
          <w:u w:val="single"/>
        </w:rPr>
        <w:t>Commercialisti: ok all’iscrizione negli elenchi di più Tribunali</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Possibile l’iscrizione agli elenchi dei delegati alle vendite di più Tribunali: il CNDCEC ritiene però opportuno che i professionisti ne indichino un numero limitato per poter usare la diligenza e la perizia richieste.</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Le norme a cui attualmente occorre fare riferimento per la formazione degli elenchi dei delegati alle operazioni di vendita non impediscono che il professionista, nella propria domanda di iscrizione, esprima la propria disponibilità a eseguire le operazioni di vendita in un Tribunale diverso da quello del circondario dell’Ordine di appartenenza, ovvero esprima preferenza per l’iscrizione negli elenchi di più Tribunali. Il CNDCEC, con il </w:t>
      </w:r>
      <w:r w:rsidRPr="000F501F">
        <w:rPr>
          <w:rFonts w:ascii="Bookman Old Style" w:hAnsi="Bookman Old Style" w:cs="Helvetica"/>
          <w:bCs/>
          <w:sz w:val="22"/>
          <w:szCs w:val="22"/>
        </w:rPr>
        <w:t>P.O. n. 304/2017</w:t>
      </w:r>
      <w:r w:rsidRPr="000F501F">
        <w:rPr>
          <w:rFonts w:ascii="Bookman Old Style" w:hAnsi="Bookman Old Style" w:cs="Helvetica"/>
          <w:sz w:val="22"/>
          <w:szCs w:val="22"/>
        </w:rPr>
        <w:t> pubblicato il </w:t>
      </w:r>
      <w:r w:rsidRPr="000F501F">
        <w:rPr>
          <w:rFonts w:ascii="Bookman Old Style" w:hAnsi="Bookman Old Style" w:cs="Helvetica"/>
          <w:bCs/>
          <w:sz w:val="22"/>
          <w:szCs w:val="22"/>
        </w:rPr>
        <w:t>27 dicembre 2017</w:t>
      </w:r>
      <w:r w:rsidRPr="000F501F">
        <w:rPr>
          <w:rFonts w:ascii="Bookman Old Style" w:hAnsi="Bookman Old Style" w:cs="Helvetica"/>
          <w:sz w:val="22"/>
          <w:szCs w:val="22"/>
        </w:rPr>
        <w:t>, fornisce tale chiarimento, sottolineando però che, in considerazione dell’importanza, del rilievo pubblico dell’incarico e della necessità di operare con diligenza, ritiene opportuno che i professionisti indichino un numero di Tribunali limitato.</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 xml:space="preserve">(CNDCEC, </w:t>
      </w:r>
      <w:r w:rsidRPr="000F501F">
        <w:rPr>
          <w:rFonts w:ascii="Bookman Old Style" w:hAnsi="Bookman Old Style" w:cs="Helvetica"/>
          <w:bCs/>
          <w:sz w:val="22"/>
          <w:szCs w:val="22"/>
        </w:rPr>
        <w:t>P.O. n. 304/2017</w:t>
      </w:r>
      <w:r w:rsidRPr="000F501F">
        <w:rPr>
          <w:rFonts w:ascii="Bookman Old Style" w:hAnsi="Bookman Old Style" w:cs="Helvetica"/>
          <w:sz w:val="22"/>
          <w:szCs w:val="22"/>
        </w:rPr>
        <w:t> del </w:t>
      </w:r>
      <w:r w:rsidRPr="000F501F">
        <w:rPr>
          <w:rFonts w:ascii="Bookman Old Style" w:hAnsi="Bookman Old Style" w:cs="Helvetica"/>
          <w:bCs/>
          <w:sz w:val="22"/>
          <w:szCs w:val="22"/>
        </w:rPr>
        <w:t>27 dicembre 2017</w:t>
      </w:r>
      <w:r w:rsidRPr="000F501F">
        <w:rPr>
          <w:rFonts w:ascii="Bookman Old Style" w:hAnsi="Bookman Old Style" w:cs="Helvetica"/>
          <w:sz w:val="22"/>
          <w:szCs w:val="22"/>
        </w:rPr>
        <w:t>)</w:t>
      </w:r>
    </w:p>
    <w:p w:rsidR="006649DC" w:rsidRPr="000F501F" w:rsidRDefault="006649DC" w:rsidP="000F501F">
      <w:pPr>
        <w:shd w:val="clear" w:color="auto" w:fill="FFFFFF"/>
        <w:jc w:val="both"/>
        <w:rPr>
          <w:rFonts w:ascii="Bookman Old Style" w:hAnsi="Bookman Old Style" w:cs="Helvetica"/>
          <w:sz w:val="22"/>
          <w:szCs w:val="22"/>
        </w:rPr>
      </w:pP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u w:val="single"/>
        </w:rPr>
      </w:pPr>
      <w:r w:rsidRPr="000F501F">
        <w:rPr>
          <w:rFonts w:ascii="Bookman Old Style" w:hAnsi="Bookman Old Style"/>
          <w:sz w:val="22"/>
          <w:szCs w:val="22"/>
          <w:u w:val="single"/>
        </w:rPr>
        <w:t>Costi chilometrici di auto e moto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In Gazzetta le tariffe per il 2018, L’Agenzia delle entrate, con il comunicato pubblicato nel supplemento ordinario n. 63 alla Gazzetta n. 302 del 29 dicembre 2017, “assegna” un fringe benefit per ogni veicolo, valido per tutto il 2018. I valori espressi nelle tabelle vanno utilizzati per quantificare forfetariamente l’importo della remunerazione aggiuntiva derivante al dipendente dalla possibilità di utilizzare il veicolo aziendale anche per fini privati. Infatti, l’articolo 51, comma 4, lettera a), del Tuir, dispone che, per gli autoveicoli, i motocicli e i ciclomotori concessi in uso promiscuo, il valore del “beneficio marginale” è uguale al 30% dell’importo corrispondente a una percorrenza convenzionale di 15mila chilometri calcolato sulla base del costo chilometrico di esercizio desumibile dalle tabelle nazionali elaborate dall’Aci, al netto delle somme eventualmente trattenute al dipendente. Per ciascun veicolo è possibile rintracciare nell’ultima colonna dei prospetti, il valore del fringe benefit annuale da riportare nella dichiarazione.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w:t>
      </w:r>
      <w:r w:rsidRPr="000F501F">
        <w:rPr>
          <w:rFonts w:ascii="Bookman Old Style" w:hAnsi="Bookman Old Style"/>
          <w:sz w:val="22"/>
          <w:szCs w:val="22"/>
        </w:rPr>
        <w:t>Agenzia delle entrate, comunicato supplemento ordinario n. 63 in Gazzetta n. 302 del 29 dicembre 2017</w:t>
      </w:r>
      <w:r w:rsidRPr="000F501F">
        <w:rPr>
          <w:rFonts w:ascii="Bookman Old Style" w:hAnsi="Bookman Old Style" w:cs="Helvetica"/>
          <w:sz w:val="22"/>
          <w:szCs w:val="22"/>
        </w:rPr>
        <w:t>)</w:t>
      </w:r>
    </w:p>
    <w:p w:rsidR="006649DC" w:rsidRPr="000F501F" w:rsidRDefault="006649DC" w:rsidP="000F501F">
      <w:pPr>
        <w:rPr>
          <w:rFonts w:ascii="Bookman Old Style" w:hAnsi="Bookman Old Style"/>
          <w:sz w:val="22"/>
          <w:szCs w:val="22"/>
        </w:rPr>
      </w:pP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u w:val="single"/>
        </w:rPr>
      </w:pPr>
      <w:r w:rsidRPr="000F501F">
        <w:rPr>
          <w:rFonts w:ascii="Bookman Old Style" w:hAnsi="Bookman Old Style"/>
          <w:sz w:val="22"/>
          <w:szCs w:val="22"/>
          <w:u w:val="single"/>
        </w:rPr>
        <w:t xml:space="preserve">Online le bozze di Cu, 730 e Iva per il periodo d’imposta 2017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Disponibili, per essere testate, le versioni iniziali della Certificazione unica e di due dei modelli dichiarativi più popolari. Sostanziali le modifiche rispetto agli anni precedenti. Dal 22 dicembre 2917 sono consultabili, nella sezione “modelli” del sito dell’Agenzia delle entrate le bozze di Cu, 730 e Iva con le relative istruzioni. I modelli recepiscono le modifiche normative che riguardano l’anno d’imposta 2017. In particolare, i primi due aprono alla cedolare secca prevista per le locazioni brevi e ai premi di risultato e welfare aziendale, mentre l’ultimo fa spazio alle recenti novità in materia di Iva di gruppo e split payment.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(Agenzia delle entrate, comunicato del 22 dicembre 2017)</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u w:val="single"/>
        </w:rPr>
      </w:pPr>
      <w:r w:rsidRPr="000F501F">
        <w:rPr>
          <w:rFonts w:ascii="Bookman Old Style" w:hAnsi="Bookman Old Style" w:cs="Helvetica"/>
          <w:bCs/>
          <w:sz w:val="22"/>
          <w:szCs w:val="22"/>
          <w:u w:val="single"/>
        </w:rPr>
        <w:t>Sottoscrizione degli atti societari: dalla firma digitale all’atto pubblico informatico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Dal 1° gennaio 2018, gli atti riguardanti la costituzione dell’impresa familiare, le operazioni straordinarie societarie (quali in particolare le operazioni di trasformazione, fusione e scissione) e la cessione d’azienda possono essere stipulati con atto pubblico informatico, nel rispetto dei requisiti formali per l’iscrizione nel registro delle imprese.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La nota di Assonime del 18 dicembre 2017 comunicava la novità normativa volta ad estendere la facoltà di utilizzo della firma digitale (originariamente prevista per il trasferimento di quote di srl) anche alla sottoscrizione di determinati atti concernenti le imprese (art. 11-bis della l. 4 dicembre 2017, n. 172 il quale aveva modificato l’articolo 36 del d. l. 25 giugno 2008, n. 112).</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La legge di bilancio del 2018 (l. 27 dicembre 2017, n. 205), pubblicata sulla Gazzetta Ufficiale del 29 dicembre 2017, ha modificato nuovamente l’art. 36 del predetto d.l. 112/2008 sostituendo le parole “sottoscritti con firma digitale” con “stipulati con atto pubblico informatico” e aggiungendo che devono essere fatti salvi i requisiti formali previsti per l’iscrizione nel registro delle imprese (art. 1, comma 25).</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Per conseguenza, a partire dal 1° gennaio 2018, gli atti riguardanti la costituzione dell’impresa familiare, le operazioni straordinarie societarie (quali in particolare le operazioni di trasformazione, fusione e scissione) e la cessione d’azienda possono essere stipulati con atto pubblico informatico, nel rispetto dei requisiti formali per l’iscrizione nel registro delle imprese.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bCs/>
          <w:sz w:val="22"/>
          <w:szCs w:val="22"/>
        </w:rPr>
      </w:pPr>
      <w:r w:rsidRPr="000F501F">
        <w:rPr>
          <w:rFonts w:ascii="Bookman Old Style" w:hAnsi="Bookman Old Style" w:cs="Helvetica"/>
          <w:bCs/>
          <w:sz w:val="22"/>
          <w:szCs w:val="22"/>
        </w:rPr>
        <w:t>(Assonime, nota del 8 gennaio 2018)</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bCs/>
          <w:sz w:val="22"/>
          <w:szCs w:val="22"/>
        </w:rPr>
      </w:pP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u w:val="single"/>
        </w:rPr>
      </w:pPr>
      <w:r w:rsidRPr="000F501F">
        <w:rPr>
          <w:rFonts w:ascii="Bookman Old Style" w:hAnsi="Bookman Old Style" w:cs="Helvetica"/>
          <w:bCs/>
          <w:sz w:val="22"/>
          <w:szCs w:val="22"/>
          <w:u w:val="single"/>
        </w:rPr>
        <w:t>Nuovo regolamento formazione continua dei Commercialisti: al via i corsi delle SAF</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Pubblicato il Regolamento (composto da 22 articoli), per la formazione professionale continua degli iscritti negli Albi tenuti dagli Ordini dei Dottori Commercialisti e degli Esperti Contabili, con efficacia dal </w:t>
      </w:r>
      <w:r w:rsidRPr="000F501F">
        <w:rPr>
          <w:rFonts w:ascii="Bookman Old Style" w:hAnsi="Bookman Old Style" w:cs="Helvetica"/>
          <w:bCs/>
          <w:sz w:val="22"/>
          <w:szCs w:val="22"/>
        </w:rPr>
        <w:t>1° gennaio 2018</w:t>
      </w:r>
      <w:r w:rsidRPr="000F501F">
        <w:rPr>
          <w:rFonts w:ascii="Bookman Old Style" w:hAnsi="Bookman Old Style" w:cs="Helvetica"/>
          <w:sz w:val="22"/>
          <w:szCs w:val="22"/>
        </w:rPr>
        <w:t>.</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E’ stato approvato dal Consiglio Nazionale dei Commercialisti nella seduta del 18 dicembre 2017 ed inserito il </w:t>
      </w:r>
      <w:r w:rsidRPr="000F501F">
        <w:rPr>
          <w:rFonts w:ascii="Bookman Old Style" w:hAnsi="Bookman Old Style" w:cs="Helvetica"/>
          <w:bCs/>
          <w:sz w:val="22"/>
          <w:szCs w:val="22"/>
        </w:rPr>
        <w:t>2 gennaio 2018</w:t>
      </w:r>
      <w:r w:rsidRPr="000F501F">
        <w:rPr>
          <w:rFonts w:ascii="Bookman Old Style" w:hAnsi="Bookman Old Style" w:cs="Helvetica"/>
          <w:sz w:val="22"/>
          <w:szCs w:val="22"/>
        </w:rPr>
        <w:t> nel </w:t>
      </w:r>
      <w:r w:rsidRPr="000F501F">
        <w:rPr>
          <w:rFonts w:ascii="Bookman Old Style" w:hAnsi="Bookman Old Style" w:cs="Helvetica"/>
          <w:bCs/>
          <w:sz w:val="22"/>
          <w:szCs w:val="22"/>
        </w:rPr>
        <w:t>bollettino ufficiale del Ministero della Giustizia</w:t>
      </w:r>
      <w:r w:rsidRPr="000F501F">
        <w:rPr>
          <w:rFonts w:ascii="Bookman Old Style" w:hAnsi="Bookman Old Style" w:cs="Helvetica"/>
          <w:sz w:val="22"/>
          <w:szCs w:val="22"/>
        </w:rPr>
        <w:t> ed inizia a decorrere dal 1° gennaio 2018.</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L’attività di aggiornamento consiste nella frequenza, anche in modalità e-learning, di seminari, convegni, videoconferenze, tavole rotonde, dibattiti e congressi approvati dal Consiglio Nazionale dei Commercialisti.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L’attività di formazione consiste nella frequenza di eventi formativi che presentano contenuti articolati a seconda dell’obiettivo professionale da perseguire e tendono all’acquisizione di conoscenze anche specialistiche che concorrono a migliorare la qualificazione professionale e ad accrescerne le competenze.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La frequenza dei corsi delle SAF costituisce attività di formazione. I corsi di alta formazione realizzati dalle SAF hanno durata almeno biennale e una didattica non inferiore a 200 ore.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i/>
          <w:sz w:val="22"/>
          <w:szCs w:val="22"/>
        </w:rPr>
      </w:pPr>
      <w:r w:rsidRPr="000F501F">
        <w:rPr>
          <w:rFonts w:ascii="Bookman Old Style" w:hAnsi="Bookman Old Style" w:cs="Helvetica"/>
          <w:bCs/>
          <w:i/>
          <w:sz w:val="22"/>
          <w:szCs w:val="22"/>
        </w:rPr>
        <w:t>Contenuto dell’obbligo formativo (Art. 5)</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L’iscritto nell’Albo sceglie liberamente, in relazione alle proprie esigenze professionali e nel rispetto delle presenti norme, le attività formative da svolgere ai fini dell’assolvimento dell’obbligo formativo.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Per l’assolvimento dell’obbligo di formazione l’iscritto nell’Albo è tenuto ad acquisire in ciascun triennio formativo 90 crediti formativi professionali, mediante le attività formative sopra indicate. Almeno 9 crediti devono essere acquisiti mediante attività formative aventi ad oggetto l’ordinamento, la deontologia, l’organizzazione dello studio professionale, la normativa antiriciclaggio e le tecniche di mediazione.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In ciascun anno l’iscritto deve acquisire minimo 20 crediti formativi professionali mediante le attività formative suddette (in particolare, quelle di cui ai commi 4, 5 e 7 dell’articolo 1 del neo regolamento).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Qualora un iscritto acquisisca in un anno più di 20 crediti, quelli eccedenti, compresi quelli speciali, possono essere riportati nel computo di quelli necessari per assolvere l’obbligo formativo triennale, ma non possono sostituire i 20 crediti formativi minimi da conseguire nel corso di ciascun anno formativo. In ogni caso, quando l’obbligo formativo decorre dal secondo e terzo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anno del triennio in corso, l’iscritto è tenuto ad acquisire rispettivamente 60 crediti formativi professionali nel biennio e 30 crediti formativi professionali nell’anno.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E’ possibile riportare nel computo dei crediti di un triennio i crediti maturati nei trienni precedenti.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I crediti formativi professionali acquisiti mediante la partecipazione ai corsi di alta formazione realizzati dalle SAF possono essere riportati nel computo di quelli necessari per assolvere l’obbligo formativo triennale, senza la necessità di dover conseguire i 20 crediti formativi minimi annuali.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I crediti formativi acquisiti mediante la partecipazione ai corsi di alta formazione realizzati dalle SAF possono essere utilizzati per l’assolvimento dell’obbligo formativo di due trienni consecutivi.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Nel caso in cui nel primo triennio la partecipazione ai corsi di alta formazione realizzati dalle SAF consenta di acquisire un numero di crediti formativi maggiore di quelli necessari all’assolvimento del relativo obbligo formativo, i crediti eccedenti potranno essere utilizzati per l’assolvimento dell’obbligo formativo del triennio successivo. Nel caso in cui il corso/modulo realizzato dalla SAF si sviluppi su due trienni formativi, nel primo triennio saranno attribuiti solo i crediti formativi relativi al numero di ore di corso/modulo effettivamente svolte nello stesso triennio.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Questo vale solo nel caso in cui la partecipazione al corso/modulo non sia inferiore all’80% delle ore.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Gli iscritti conservano, fino alla scadenza del termine di prescrizione per l’esercizio dell’azione disciplinare, la documentazione attestante le attività formative svolte presso altri Ordini e/o soggetti autorizzati e/o SAF e quella relativa alle attività formative particolari svolte, per esibirla all’Ordine di appartenenza su richiesta.</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(Consiglio Nazionale dei Commercialisti, seduta del 18 dicembre 2017)</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u w:val="single"/>
        </w:rPr>
      </w:pPr>
      <w:r w:rsidRPr="000F501F">
        <w:rPr>
          <w:rFonts w:ascii="Bookman Old Style" w:hAnsi="Bookman Old Style" w:cs="Helvetica"/>
          <w:bCs/>
          <w:sz w:val="22"/>
          <w:szCs w:val="22"/>
          <w:u w:val="single"/>
        </w:rPr>
        <w:t>Novità in materia di plusvalenze immobiliari – Liberalità indirette e collegamento negoziale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Sono stati pubblicati il 4 gennaio 2018, i nuovi studi del Notariato – Novità in materia di plusvalenze immobiliari – Liberalità indirette e collegamento negoziale.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Gli ultimi lavori approvati dal Consiglio Nazionale del Notariato sono consultabili nella sezione TROVA STUDIO e hanno approfondito tematiche relative al diritto tributario.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i/>
          <w:sz w:val="22"/>
          <w:szCs w:val="22"/>
        </w:rPr>
      </w:pP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i/>
          <w:sz w:val="22"/>
          <w:szCs w:val="22"/>
        </w:rPr>
      </w:pPr>
      <w:r w:rsidRPr="000F501F">
        <w:rPr>
          <w:rFonts w:ascii="Bookman Old Style" w:hAnsi="Bookman Old Style" w:cs="Helvetica"/>
          <w:bCs/>
          <w:i/>
          <w:sz w:val="22"/>
          <w:szCs w:val="22"/>
        </w:rPr>
        <w:t>Novità in materia di plusvalenze immobiliari: aspetti notarili – Studio n. 32-2017/T</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Lo studio si prefigge di raggruppare in un unico documento le diverse novità in materia di plusvalenze immobiliari con lo scopo di offrirne uno strumento orientativo e di unitaria consultazione. Nello specifico verranno trattate specifiche tematiche in materia di Fondo Patrimoniale, Usufrutto, Uso e Abitazione, Diretto Dominio e Superficie. L’occasione consentirà di approfondire il tema della alienazione dei terreni in zona F e dei terreni di natura agricola nonché della costituzione/cessione del diritto di superficie. Il lavoro si conclude con le novità in materia di rideterminazione del costo fiscale dei terreni e dei rapporti tra corrispettivo e valore di mercato.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i/>
          <w:sz w:val="22"/>
          <w:szCs w:val="22"/>
        </w:rPr>
      </w:pPr>
      <w:r w:rsidRPr="000F501F">
        <w:rPr>
          <w:rFonts w:ascii="Bookman Old Style" w:hAnsi="Bookman Old Style" w:cs="Helvetica"/>
          <w:bCs/>
          <w:i/>
          <w:sz w:val="22"/>
          <w:szCs w:val="22"/>
        </w:rPr>
        <w:t>Liberalità indirette e collegamento negoziale – Studio n. 29-2017/T</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Lo studio esamina in chiave critica la recente giurisprudenza della Cassazione in tema di liberalità indirette collegate a trasferimenti di immobili o di azienda, contestando l’assunto di detta giurisprudenza secondo il quale, affinché il collegamento possa essere rilevante al fine di escludere la tassazione, sarebbe necessaria una espressa richiesta di applicazione di detta normativa (art. 1 comma 4 bis D.lgs. 346/1990) nell’atto notarile. Invero, stante il silenzio della norma al riguardo, si deve al contrario ritenere che la prova del collegamento possa essere data anche aliunde, adducendosi, anche successivamente al rogito notarile (in specie in sede di opposizione ad un accertamento sintetico ai fini delle imposte dirette), un qualsivoglia elemento che possa dimostrare la funzionalità della liberalità all’acquisto dell’immobile o dell’azienda.</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bCs/>
          <w:sz w:val="22"/>
          <w:szCs w:val="22"/>
        </w:rPr>
        <w:t>(Consiglio nazionale del Notariato, nota del 4 gennaio 2018)</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u w:val="single"/>
        </w:rPr>
      </w:pPr>
      <w:r w:rsidRPr="000F501F">
        <w:rPr>
          <w:rFonts w:ascii="Bookman Old Style" w:hAnsi="Bookman Old Style" w:cs="Helvetica"/>
          <w:bCs/>
          <w:sz w:val="22"/>
          <w:szCs w:val="22"/>
          <w:u w:val="single"/>
        </w:rPr>
        <w:t>Istituiti i codici tributo per l’adeguamento tecnologico alla trasmissione dei dati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Pronti i codici tributo per l’adeguamento tecnologico alla trasmissione dei dati all’Agenzia delle entratr.</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Istituiti i codici tributo per l’utilizzo in compensazione, tramite modello F24, dei crediti d’imposta per l’adeguamento tecnologico finalizzato alla trasmissione dei dati all’Agenzia delle Entrate.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L’adeguamento tecnologico finalizzato all’adempimento degli obblighi relativi alla trasmissione telematica all’Agenzia delle entrate dei dati delle fatture emesse e ricevute (articolo 21, Dl 78/2010) e delle liquidazioni periodiche Iva (articolo 21-bis, Dl 78/2010) ha comportato il riconoscimento di un credito d’imposta una tantum di 100 euro (articolo 21-ter, comma 1 Dl 78/2010).</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Tale credito d’imposta spetta anche a coloro abbiano esercitato l’opzione per la trasmissione telematica all’Agenzia delle entrate dei dati di tutte le fatture, emesse e ricevute, e delle relative variazioni, effettuata anche mediante il Sistema di Interscambio (articolo 1, comma 3, Dlgs 127/2015).</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In entrambi i casi, il credito spetta ai soggetti in attività nel 2017 purché nell’anno precedente a quello in cui è stato sostenuto il costo per l’adeguamento tecnologico abbiano realizzato un volume di affari non superiore a 50mila euro.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Agli stessi contribuenti è, inoltre riconosciuto un ulteriore credito d’imposta, anch’esso una tantum, di 50 euro qualora, avendone i requisiti, abbiano esercitato, entro il 31 dicembre 2017, anche l’opzione per la trasmissione telematica al Fisco dei dati dei corrispettivi.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Entrambi i crediti d’imposta possono essere utilizzati esclusivamente in compensazione a decorrere dal 1° gennaio 2018.</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Per consentire l’impiego dei crediti d’imposta, l’Agenzia delle entrate, con la risoluzione n. 2/E del 5 gennaio 2018, ha istituito i seguenti codici tributo: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“6881” – Credito d’imposta – Adeguamento tecnologico – 100 euro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“6882” – Credito d’imposta – Adeguamento tecnologico – 50 euro.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Il modello F24 deve essere presentato esclusivamente attraverso i servizi telematici Entratel o Fisconline, pena il rifiuto del versamento, in modo da consentire all’Amministrazione finanziaria di verificare che l’utilizzo dei crediti d’imposta avvenga entro i limiti d’importo stabiliti.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Se il credito utilizzato dallo stesso soggetto risulta superiore all’importo massimo stabilito, il modello F24 che ha determinato il superamento del limite viene scartato.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Infine, le solite indicazioni di compilazione: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i codici tributo vanno riportati nella sezione “Erario” in corrispondenza delle somme indicate nella colonna “importi a credito compensati”, o, se il contribuente deve riversare il credito, nella colonna “importi a debito versati”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per il campo “anno di riferimento” va utilizzato il formato “AAAA”, indicando l’anno in cui è stato sostenuto il costo per l’adeguamento tecnologico.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bCs/>
          <w:sz w:val="22"/>
          <w:szCs w:val="22"/>
        </w:rPr>
      </w:pPr>
      <w:r w:rsidRPr="000F501F">
        <w:rPr>
          <w:rFonts w:ascii="Bookman Old Style" w:hAnsi="Bookman Old Style" w:cs="Helvetica"/>
          <w:bCs/>
          <w:sz w:val="22"/>
          <w:szCs w:val="22"/>
        </w:rPr>
        <w:t>(Agenzia Entrate, risoluzione n. 2/E del 05 gennaio 2018)</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u w:val="single"/>
        </w:rPr>
      </w:pPr>
      <w:r w:rsidRPr="000F501F">
        <w:rPr>
          <w:rFonts w:ascii="Bookman Old Style" w:hAnsi="Bookman Old Style" w:cs="Helvetica"/>
          <w:bCs/>
          <w:sz w:val="22"/>
          <w:szCs w:val="22"/>
          <w:u w:val="single"/>
        </w:rPr>
        <w:t>Ammortizzatori sociali: novità introdotte dalla Legge di bilancio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hyperlink r:id="rId19" w:tgtFrame="_blank" w:history="1">
        <w:r w:rsidRPr="000F501F">
          <w:rPr>
            <w:rStyle w:val="Hyperlink"/>
            <w:rFonts w:ascii="Bookman Old Style" w:hAnsi="Bookman Old Style" w:cs="Helvetica"/>
            <w:color w:val="auto"/>
            <w:sz w:val="22"/>
            <w:szCs w:val="22"/>
          </w:rPr>
          <w:t>La Legge di Bilancio per il 2018 (Legge n. 205/2017)</w:t>
        </w:r>
      </w:hyperlink>
      <w:r w:rsidRPr="000F501F">
        <w:rPr>
          <w:rFonts w:ascii="Bookman Old Style" w:hAnsi="Bookman Old Style" w:cs="Helvetica"/>
          <w:sz w:val="22"/>
          <w:szCs w:val="22"/>
        </w:rPr>
        <w:t> ha adottato importanti misure in materia di ammortizzatori sociali, che la </w:t>
      </w:r>
      <w:r w:rsidRPr="000F501F">
        <w:rPr>
          <w:rFonts w:ascii="Bookman Old Style" w:hAnsi="Bookman Old Style" w:cs="Helvetica"/>
          <w:bCs/>
          <w:sz w:val="22"/>
          <w:szCs w:val="22"/>
        </w:rPr>
        <w:t>Fondazione Studi Consulenti del Lavoro</w:t>
      </w:r>
      <w:r w:rsidRPr="000F501F">
        <w:rPr>
          <w:rFonts w:ascii="Bookman Old Style" w:hAnsi="Bookman Old Style" w:cs="Helvetica"/>
          <w:sz w:val="22"/>
          <w:szCs w:val="22"/>
        </w:rPr>
        <w:t> ha analizzato nella</w:t>
      </w:r>
      <w:r w:rsidRPr="000F501F">
        <w:rPr>
          <w:rFonts w:ascii="Bookman Old Style" w:hAnsi="Bookman Old Style" w:cs="Helvetica"/>
          <w:bCs/>
          <w:sz w:val="22"/>
          <w:szCs w:val="22"/>
        </w:rPr>
        <w:t>circolare n. 1/2018 pubblicata il 4 gennaio 2018</w:t>
      </w:r>
      <w:r w:rsidRPr="000F501F">
        <w:rPr>
          <w:rFonts w:ascii="Bookman Old Style" w:hAnsi="Bookman Old Style" w:cs="Helvetica"/>
          <w:sz w:val="22"/>
          <w:szCs w:val="22"/>
        </w:rPr>
        <w:t>.</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Tra i vari interventi si registrano quelli rivolti al sostegno al reddito dei lavoratori coinvolti in processi complessi, attraverso la proroga della CIGS per riorganizzazione o crisi aziendale al fine del completamento dei relativi programmi. Oltre ad interventi con strumenti di CIGS e mobilità in deroga nelle aree di crisi industriale complessa, un particolare rilievo è dato alla ricollocazione dei lavoratori a rischio di esubero nell’ambito di programmi di cassa integrazione straordinaria. In tale circostanza sono previste particolari agevolazioni fiscali per i dipendenti che reperiscano una nuova occupazione oltre che benefici contributivi per i datori che li assumono.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Viene incrementato da quattro a dieci volte il tetto aziendale del Fondo di Integrazione Salariale e da quattro a sette volte il periodo minimo per l’accesso all’esodo incentivato previsto dalla Legge Fornero.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Inoltre, diventa più costoso licenziare: per le aziende soggette alla CIGS viene elevato dal 41% all’82% il ticket di licenziamento, per ciascuna risoluzione del rapporto di lavoro nell’ambito di un licenziamento collettivo.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bCs/>
          <w:sz w:val="22"/>
          <w:szCs w:val="22"/>
        </w:rPr>
        <w:t>(Consiglio nazionale dei consulenti del lavoro, nota del 4 gennaio 2018)</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u w:val="single"/>
        </w:rPr>
      </w:pPr>
      <w:r w:rsidRPr="000F501F">
        <w:rPr>
          <w:rFonts w:ascii="Bookman Old Style" w:hAnsi="Bookman Old Style" w:cs="Helvetica"/>
          <w:bCs/>
          <w:sz w:val="22"/>
          <w:szCs w:val="22"/>
          <w:u w:val="single"/>
        </w:rPr>
        <w:t>Conguaglio di fine anno 2017 dei contributi previdenziali e assistenziali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Arrivati i chiarimenti e le precisazioni sulle operazioni di conguaglio di fine anno per i datori di lavoro privati non agricoli che utilizzano la dichiarazione contributiva UniEmens.</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hyperlink r:id="rId20" w:tgtFrame="_blank" w:history="1">
        <w:r w:rsidRPr="000F501F">
          <w:rPr>
            <w:rStyle w:val="Hyperlink"/>
            <w:rFonts w:ascii="Bookman Old Style" w:hAnsi="Bookman Old Style" w:cs="Helvetica"/>
            <w:color w:val="auto"/>
            <w:sz w:val="22"/>
            <w:szCs w:val="22"/>
          </w:rPr>
          <w:t>L’</w:t>
        </w:r>
        <w:r w:rsidRPr="000F501F">
          <w:rPr>
            <w:rStyle w:val="Hyperlink"/>
            <w:rFonts w:ascii="Bookman Old Style" w:hAnsi="Bookman Old Style" w:cs="Helvetica"/>
            <w:bCs/>
            <w:color w:val="auto"/>
            <w:sz w:val="22"/>
            <w:szCs w:val="22"/>
          </w:rPr>
          <w:t>INPS</w:t>
        </w:r>
        <w:r w:rsidRPr="000F501F">
          <w:rPr>
            <w:rStyle w:val="Hyperlink"/>
            <w:rFonts w:ascii="Bookman Old Style" w:hAnsi="Bookman Old Style" w:cs="Helvetica"/>
            <w:color w:val="auto"/>
            <w:sz w:val="22"/>
            <w:szCs w:val="22"/>
          </w:rPr>
          <w:t>, con la </w:t>
        </w:r>
        <w:r w:rsidRPr="000F501F">
          <w:rPr>
            <w:rStyle w:val="Hyperlink"/>
            <w:rFonts w:ascii="Bookman Old Style" w:hAnsi="Bookman Old Style" w:cs="Helvetica"/>
            <w:bCs/>
            <w:color w:val="auto"/>
            <w:sz w:val="22"/>
            <w:szCs w:val="22"/>
          </w:rPr>
          <w:t>circolare n. 1 del 3 gennaio 2018</w:t>
        </w:r>
      </w:hyperlink>
      <w:hyperlink r:id="rId21" w:tgtFrame="_blank" w:history="1">
        <w:r w:rsidRPr="000F501F">
          <w:rPr>
            <w:rStyle w:val="Hyperlink"/>
            <w:rFonts w:ascii="Bookman Old Style" w:hAnsi="Bookman Old Style" w:cs="Helvetica"/>
            <w:color w:val="auto"/>
            <w:sz w:val="22"/>
            <w:szCs w:val="22"/>
          </w:rPr>
          <w:t>,</w:t>
        </w:r>
      </w:hyperlink>
      <w:r w:rsidRPr="000F501F">
        <w:rPr>
          <w:rFonts w:ascii="Bookman Old Style" w:hAnsi="Bookman Old Style" w:cs="Helvetica"/>
          <w:sz w:val="22"/>
          <w:szCs w:val="22"/>
        </w:rPr>
        <w:t> ha, infatti, fornito le indicazioni in ordine alle modalità da seguire per lo svolgimento delle operazioni di conguaglio, relative all’anno 2017, finalizzate alla corretta quantificazione dell’imponibile contributivo, anche con riguardo alla misura degli elementi variabili della retribuzione.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Come di consueto, l’INPS si sofferma sulle modalità di rendicontazione delle seguenti fattispecie: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 elementi variabili della retribuzione, ai sensi del decreto del Ministro del lavoro e della previdenza sociale 7 ottobre 1993 (DM 7.10.1993);</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 massimale contributivo e pensionabile, di cui all’art. 2, comma 18, della legge n. 335/1995;</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 contributo aggiuntivo IVS 1%, di cui all’art. 3-ter della legge n. 438/1992;</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 conguagli sui contributi versati sui compensi ferie a seguito fruizione delle stesse;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 “fringe benefits” esenti non superiori al limite di € 258,23 nel periodo d’imposta (art. 51, comma 3, del T.U.I.R.);</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 auto aziendali ad uso promiscuo;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 prestiti ai dipendenti;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 conguagli per versamenti di quote di TFR al Fondo di Tesoreria;</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 rivalutazione annuale del TFR conferito al Fondo di Tesoreria;</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 gestione delle operazioni societarie.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bCs/>
          <w:sz w:val="22"/>
          <w:szCs w:val="22"/>
        </w:rPr>
        <w:t>(INPS, circolare n. 1 del 3 gennaio 2018)</w:t>
      </w:r>
    </w:p>
    <w:p w:rsidR="006649DC" w:rsidRDefault="006649DC" w:rsidP="005C2552"/>
    <w:p w:rsidR="006649DC" w:rsidRDefault="006649DC" w:rsidP="005C2552"/>
    <w:p w:rsidR="006649DC" w:rsidRPr="005C2552" w:rsidRDefault="006649DC" w:rsidP="005C2552"/>
    <w:p w:rsidR="006649DC" w:rsidRDefault="006649DC" w:rsidP="00684D11">
      <w:pPr>
        <w:pStyle w:val="Heading2"/>
        <w:pBdr>
          <w:bottom w:val="single" w:sz="4" w:space="1" w:color="auto"/>
        </w:pBdr>
        <w:spacing w:before="0" w:after="0" w:line="240" w:lineRule="exact"/>
        <w:jc w:val="both"/>
        <w:rPr>
          <w:rFonts w:ascii="Bookman Old Style" w:hAnsi="Bookman Old Style"/>
          <w:sz w:val="28"/>
          <w:szCs w:val="28"/>
        </w:rPr>
      </w:pPr>
      <w:bookmarkStart w:id="142" w:name="_Toc448485282"/>
      <w:bookmarkStart w:id="143" w:name="_Toc448485406"/>
      <w:bookmarkStart w:id="144" w:name="_Toc448485545"/>
      <w:bookmarkStart w:id="145" w:name="_Toc448485673"/>
      <w:bookmarkStart w:id="146" w:name="_Toc448485797"/>
      <w:bookmarkStart w:id="147" w:name="_Toc448485900"/>
      <w:bookmarkStart w:id="148" w:name="_Toc448494603"/>
      <w:bookmarkStart w:id="149" w:name="_Toc469935673"/>
    </w:p>
    <w:p w:rsidR="006649DC" w:rsidRPr="00A75652" w:rsidRDefault="006649DC" w:rsidP="00684D11">
      <w:pPr>
        <w:pStyle w:val="Heading2"/>
        <w:pBdr>
          <w:bottom w:val="single" w:sz="4" w:space="1" w:color="auto"/>
        </w:pBdr>
        <w:spacing w:before="0" w:after="0" w:line="240" w:lineRule="exact"/>
        <w:jc w:val="both"/>
        <w:rPr>
          <w:rFonts w:ascii="Bookman Old Style" w:hAnsi="Bookman Old Style"/>
          <w:sz w:val="28"/>
          <w:szCs w:val="28"/>
        </w:rPr>
      </w:pPr>
      <w:bookmarkStart w:id="150" w:name="_Toc506559962"/>
      <w:r w:rsidRPr="00A75652">
        <w:rPr>
          <w:rFonts w:ascii="Bookman Old Style" w:hAnsi="Bookman Old Style"/>
          <w:sz w:val="28"/>
          <w:szCs w:val="28"/>
        </w:rPr>
        <w:t>GIURISPRUDENZA</w:t>
      </w:r>
      <w:bookmarkEnd w:id="142"/>
      <w:bookmarkEnd w:id="143"/>
      <w:bookmarkEnd w:id="144"/>
      <w:bookmarkEnd w:id="145"/>
      <w:bookmarkEnd w:id="146"/>
      <w:bookmarkEnd w:id="147"/>
      <w:bookmarkEnd w:id="148"/>
      <w:bookmarkEnd w:id="149"/>
      <w:bookmarkEnd w:id="150"/>
    </w:p>
    <w:p w:rsidR="006649DC" w:rsidRDefault="006649DC" w:rsidP="00684D11">
      <w:pPr>
        <w:pStyle w:val="Heading3"/>
        <w:spacing w:line="240" w:lineRule="exact"/>
        <w:rPr>
          <w:rFonts w:cs="Verdana"/>
          <w:bCs w:val="0"/>
          <w:color w:val="000000"/>
          <w:sz w:val="24"/>
          <w:u w:val="none"/>
        </w:rPr>
      </w:pPr>
      <w:bookmarkStart w:id="151" w:name="_Toc448485283"/>
      <w:bookmarkStart w:id="152" w:name="_Toc448485407"/>
      <w:bookmarkStart w:id="153" w:name="_Toc448485546"/>
      <w:bookmarkStart w:id="154" w:name="_Toc448485674"/>
      <w:bookmarkStart w:id="155" w:name="_Toc448485798"/>
      <w:bookmarkStart w:id="156" w:name="_Toc448485901"/>
      <w:bookmarkStart w:id="157" w:name="_Toc448494604"/>
      <w:bookmarkStart w:id="158" w:name="_Toc469935674"/>
    </w:p>
    <w:p w:rsidR="006649DC" w:rsidRDefault="006649DC" w:rsidP="00684D11">
      <w:pPr>
        <w:pStyle w:val="Heading3"/>
        <w:spacing w:line="240" w:lineRule="exact"/>
        <w:rPr>
          <w:b/>
          <w:sz w:val="28"/>
          <w:szCs w:val="28"/>
          <w:u w:val="none"/>
        </w:rPr>
      </w:pPr>
      <w:bookmarkStart w:id="159" w:name="_Toc506559963"/>
      <w:r w:rsidRPr="00D64D29">
        <w:rPr>
          <w:b/>
          <w:sz w:val="28"/>
          <w:szCs w:val="28"/>
          <w:u w:val="none"/>
        </w:rPr>
        <w:t>IVA</w:t>
      </w:r>
      <w:bookmarkStart w:id="160" w:name="_Toc448485284"/>
      <w:bookmarkStart w:id="161" w:name="_Toc448485408"/>
      <w:bookmarkStart w:id="162" w:name="_Toc448485547"/>
      <w:bookmarkStart w:id="163" w:name="_Toc448485675"/>
      <w:bookmarkStart w:id="164" w:name="_Toc448485799"/>
      <w:bookmarkStart w:id="165" w:name="_Toc448485902"/>
      <w:bookmarkStart w:id="166" w:name="_Toc448494605"/>
      <w:bookmarkEnd w:id="151"/>
      <w:bookmarkEnd w:id="152"/>
      <w:bookmarkEnd w:id="153"/>
      <w:bookmarkEnd w:id="154"/>
      <w:bookmarkEnd w:id="155"/>
      <w:bookmarkEnd w:id="156"/>
      <w:bookmarkEnd w:id="157"/>
      <w:bookmarkEnd w:id="158"/>
      <w:bookmarkEnd w:id="159"/>
    </w:p>
    <w:p w:rsidR="006649DC" w:rsidRPr="0084312D" w:rsidRDefault="006649DC" w:rsidP="000F501F">
      <w:pPr>
        <w:pStyle w:val="western"/>
        <w:shd w:val="clear" w:color="auto" w:fill="FFFFFF"/>
        <w:spacing w:before="0" w:beforeAutospacing="0" w:after="0" w:afterAutospacing="0"/>
        <w:jc w:val="both"/>
        <w:rPr>
          <w:rFonts w:ascii="Bookman Old Style" w:hAnsi="Bookman Old Style" w:cs="Helvetica"/>
          <w:sz w:val="22"/>
          <w:szCs w:val="22"/>
          <w:u w:val="single"/>
        </w:rPr>
      </w:pPr>
      <w:r w:rsidRPr="0084312D">
        <w:rPr>
          <w:rFonts w:ascii="Bookman Old Style" w:hAnsi="Bookman Old Style" w:cs="Helvetica"/>
          <w:bCs/>
          <w:sz w:val="22"/>
          <w:szCs w:val="22"/>
          <w:u w:val="single"/>
        </w:rPr>
        <w:t>Iva: la Corte Ue sulla direttiva servizi</w:t>
      </w:r>
    </w:p>
    <w:p w:rsidR="006649DC" w:rsidRPr="0084312D"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La Corte Ue si pronuncia sui confini della direttiva “servizi”, l’esame della normativa locale dei Paesi Bassi offre agli eurogiudici lo spunto per soffermarsi sui limiti e l’ambito di applicazione delle regole comunitarie in alcuni casi specifici.</w:t>
      </w:r>
    </w:p>
    <w:p w:rsidR="006649DC" w:rsidRPr="0084312D"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In particolare, la </w:t>
      </w:r>
      <w:r w:rsidRPr="0084312D">
        <w:rPr>
          <w:rFonts w:ascii="Bookman Old Style" w:hAnsi="Bookman Old Style" w:cs="Helvetica"/>
          <w:bCs/>
          <w:sz w:val="22"/>
          <w:szCs w:val="22"/>
        </w:rPr>
        <w:t>Corte di giustizia Ue</w:t>
      </w:r>
      <w:r w:rsidRPr="0084312D">
        <w:rPr>
          <w:rFonts w:ascii="Bookman Old Style" w:hAnsi="Bookman Old Style" w:cs="Helvetica"/>
          <w:sz w:val="22"/>
          <w:szCs w:val="22"/>
        </w:rPr>
        <w:t>, con la </w:t>
      </w:r>
      <w:r w:rsidRPr="0084312D">
        <w:rPr>
          <w:rFonts w:ascii="Bookman Old Style" w:hAnsi="Bookman Old Style" w:cs="Helvetica"/>
          <w:bCs/>
          <w:sz w:val="22"/>
          <w:szCs w:val="22"/>
        </w:rPr>
        <w:t>sentenza 30 gennaio 2018</w:t>
      </w:r>
      <w:r w:rsidRPr="0084312D">
        <w:rPr>
          <w:rFonts w:ascii="Bookman Old Style" w:hAnsi="Bookman Old Style" w:cs="Helvetica"/>
          <w:sz w:val="22"/>
          <w:szCs w:val="22"/>
        </w:rPr>
        <w:t>, cause riunite C-360/2015 e C-31/2016, perviene alle seguenti conclusioni:</w:t>
      </w:r>
    </w:p>
    <w:p w:rsidR="006649DC" w:rsidRPr="0084312D"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L’articolo 2, paragrafo 2, lettera c), della direttiva 2006/123/CE del Parlamento europeo e del Consiglio, del 12 dicembre 2006, relativa ai servizi nel mercato interno, deve essere interpretato nel senso che quest’ultima non si applica a tasse il cui fatto generatore è legato ai diritti, in capo alle imprese autorizzate a fornire reti e servizi di comunicazione elettronica, di installare cavi per una rete pubblica di comunicazione elettronica.</w:t>
      </w:r>
    </w:p>
    <w:p w:rsidR="006649DC" w:rsidRPr="0084312D"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L’articolo 4, punto 1, della direttiva 2006/123 deve essere interpretato nel senso che l’attività di vendita al dettaglio di prodotti costituisce un “servizio” ai fini dell’applicazione di tale direttiva.</w:t>
      </w:r>
    </w:p>
    <w:p w:rsidR="006649DC" w:rsidRPr="0084312D"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Le disposizioni del capo III della direttiva 2006/123, relativo alla libertà di stabilimento dei prestatori, devono essere interpretate nel senso che si applicano anche a una situazione i cui elementi rilevanti si collocano tutti all’interno di un solo Stato membro.</w:t>
      </w:r>
    </w:p>
    <w:p w:rsidR="006649DC" w:rsidRPr="0084312D"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L’articolo 15, paragrafo 1, della direttiva 2006/123 deve essere interpretato nel senso che esso non osta a che norme contenute in un piano regolatore di un comune vietino l’attività di vendita al dettaglio di prodotti non voluminosi in aree geografiche situate al di fuori del centro cittadino di tale comune, purché siano rispettate tutte le condizioni previste dall’articolo 15, paragrafo 3, di tale direttiva, circostanza che spetta al giudice del rinvio verificare.</w:t>
      </w:r>
    </w:p>
    <w:p w:rsidR="006649DC" w:rsidRPr="0084312D"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w:t>
      </w:r>
      <w:r w:rsidRPr="0084312D">
        <w:rPr>
          <w:rFonts w:ascii="Bookman Old Style" w:hAnsi="Bookman Old Style" w:cs="Helvetica"/>
          <w:bCs/>
          <w:sz w:val="22"/>
          <w:szCs w:val="22"/>
        </w:rPr>
        <w:t>Corte di giustizia Ue</w:t>
      </w:r>
      <w:r w:rsidRPr="0084312D">
        <w:rPr>
          <w:rFonts w:ascii="Bookman Old Style" w:hAnsi="Bookman Old Style" w:cs="Helvetica"/>
          <w:sz w:val="22"/>
          <w:szCs w:val="22"/>
        </w:rPr>
        <w:t xml:space="preserve">, </w:t>
      </w:r>
      <w:r w:rsidRPr="0084312D">
        <w:rPr>
          <w:rFonts w:ascii="Bookman Old Style" w:hAnsi="Bookman Old Style" w:cs="Helvetica"/>
          <w:bCs/>
          <w:sz w:val="22"/>
          <w:szCs w:val="22"/>
        </w:rPr>
        <w:t>sentenza 30 gennaio 2018</w:t>
      </w:r>
      <w:r w:rsidRPr="0084312D">
        <w:rPr>
          <w:rFonts w:ascii="Bookman Old Style" w:hAnsi="Bookman Old Style" w:cs="Helvetica"/>
          <w:sz w:val="22"/>
          <w:szCs w:val="22"/>
        </w:rPr>
        <w:t>, cause riunite C-360/2015 e C-31/2016)</w:t>
      </w:r>
    </w:p>
    <w:p w:rsidR="006649DC" w:rsidRDefault="006649DC" w:rsidP="005C2552"/>
    <w:p w:rsidR="006649DC" w:rsidRDefault="006649DC" w:rsidP="005C2552"/>
    <w:p w:rsidR="006649DC" w:rsidRDefault="006649DC" w:rsidP="005C2552"/>
    <w:p w:rsidR="006649DC" w:rsidRDefault="006649DC" w:rsidP="005C2552"/>
    <w:p w:rsidR="006649DC" w:rsidRPr="005C2552" w:rsidRDefault="006649DC" w:rsidP="005C2552"/>
    <w:p w:rsidR="006649DC" w:rsidRPr="003B1B09" w:rsidRDefault="006649DC" w:rsidP="0082389A">
      <w:pPr>
        <w:pStyle w:val="Heading3"/>
        <w:rPr>
          <w:b/>
          <w:sz w:val="28"/>
          <w:szCs w:val="28"/>
          <w:u w:val="none"/>
        </w:rPr>
      </w:pPr>
      <w:bookmarkStart w:id="167" w:name="_Toc506559964"/>
      <w:bookmarkEnd w:id="160"/>
      <w:bookmarkEnd w:id="161"/>
      <w:bookmarkEnd w:id="162"/>
      <w:bookmarkEnd w:id="163"/>
      <w:bookmarkEnd w:id="164"/>
      <w:bookmarkEnd w:id="165"/>
      <w:bookmarkEnd w:id="166"/>
      <w:r w:rsidRPr="003B1B09">
        <w:rPr>
          <w:b/>
          <w:sz w:val="28"/>
          <w:szCs w:val="28"/>
          <w:u w:val="none"/>
        </w:rPr>
        <w:t>IMPOSTE DIRETTE</w:t>
      </w:r>
      <w:bookmarkEnd w:id="167"/>
    </w:p>
    <w:p w:rsidR="006649DC" w:rsidRDefault="006649DC" w:rsidP="00100B36">
      <w:pPr>
        <w:pStyle w:val="Heading3"/>
        <w:rPr>
          <w:b/>
          <w:sz w:val="28"/>
          <w:szCs w:val="28"/>
          <w:u w:val="none"/>
        </w:rPr>
      </w:pPr>
    </w:p>
    <w:p w:rsidR="006649DC" w:rsidRDefault="006649DC" w:rsidP="00100B36">
      <w:pPr>
        <w:pStyle w:val="Heading3"/>
        <w:rPr>
          <w:b/>
          <w:sz w:val="28"/>
          <w:szCs w:val="28"/>
          <w:u w:val="none"/>
        </w:rPr>
      </w:pPr>
    </w:p>
    <w:p w:rsidR="006649DC" w:rsidRDefault="006649DC" w:rsidP="00100B36">
      <w:pPr>
        <w:pStyle w:val="Heading3"/>
        <w:rPr>
          <w:b/>
          <w:sz w:val="28"/>
          <w:szCs w:val="28"/>
          <w:u w:val="none"/>
        </w:rPr>
      </w:pPr>
    </w:p>
    <w:p w:rsidR="006649DC" w:rsidRDefault="006649DC" w:rsidP="00100B36">
      <w:pPr>
        <w:pStyle w:val="Heading3"/>
        <w:rPr>
          <w:b/>
          <w:sz w:val="28"/>
          <w:szCs w:val="28"/>
          <w:u w:val="none"/>
        </w:rPr>
      </w:pPr>
    </w:p>
    <w:p w:rsidR="006649DC" w:rsidRDefault="006649DC" w:rsidP="0082389A">
      <w:pPr>
        <w:pStyle w:val="Heading3"/>
        <w:rPr>
          <w:b/>
          <w:sz w:val="28"/>
          <w:szCs w:val="28"/>
          <w:u w:val="none"/>
        </w:rPr>
      </w:pPr>
      <w:bookmarkStart w:id="168" w:name="_Toc506559965"/>
      <w:r w:rsidRPr="003B1B09">
        <w:rPr>
          <w:b/>
          <w:sz w:val="28"/>
          <w:szCs w:val="28"/>
          <w:u w:val="none"/>
        </w:rPr>
        <w:t>ALTRE IMPOSTE INDIRETTE, IRAP e TRIBUTI LOCALI</w:t>
      </w:r>
      <w:bookmarkEnd w:id="168"/>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u w:val="single"/>
        </w:rPr>
      </w:pPr>
      <w:r w:rsidRPr="000F501F">
        <w:rPr>
          <w:rFonts w:ascii="Bookman Old Style" w:hAnsi="Bookman Old Style" w:cs="Helvetica"/>
          <w:bCs/>
          <w:sz w:val="22"/>
          <w:szCs w:val="22"/>
          <w:u w:val="single"/>
        </w:rPr>
        <w:t>Consulente finanziario con tirocinante soggetto all’IRAP</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rPr>
      </w:pPr>
      <w:r w:rsidRPr="000F501F">
        <w:rPr>
          <w:rFonts w:ascii="Bookman Old Style" w:hAnsi="Bookman Old Style" w:cs="Helvetica"/>
          <w:sz w:val="22"/>
          <w:szCs w:val="22"/>
        </w:rPr>
        <w:t>Consulente finanziario soggetto all’IRAP a seguito dell’incremento della prestazione intellettuale fornita alla clientela dal tirocinante.</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rPr>
      </w:pPr>
      <w:r w:rsidRPr="000F501F">
        <w:rPr>
          <w:rFonts w:ascii="Bookman Old Style" w:hAnsi="Bookman Old Style" w:cs="Helvetica"/>
          <w:sz w:val="22"/>
          <w:szCs w:val="22"/>
        </w:rPr>
        <w:t>E’, quindi, soggetto all’IRAP il consulente finanziario che ha l’apporto di un praticante, quando costituisce un concreto incremento della prestazione intellettuale e accresce il valore della consulenza fornita ai clienti dello studio, considerando anche che a tale collaboratore gli viene corrisposto un emolumento.</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rPr>
      </w:pPr>
      <w:r w:rsidRPr="000F501F">
        <w:rPr>
          <w:rFonts w:ascii="Bookman Old Style" w:hAnsi="Bookman Old Style" w:cs="Helvetica"/>
          <w:i/>
          <w:iCs/>
          <w:sz w:val="22"/>
          <w:szCs w:val="22"/>
        </w:rPr>
        <w:t>Ecco di seguito uno stralcio della neo sentenza</w:t>
      </w:r>
      <w:r w:rsidRPr="000F501F">
        <w:rPr>
          <w:rFonts w:ascii="Bookman Old Style" w:hAnsi="Bookman Old Style" w:cs="Helvetica"/>
          <w:sz w:val="22"/>
          <w:szCs w:val="22"/>
        </w:rPr>
        <w:t>:</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rPr>
      </w:pPr>
      <w:r w:rsidRPr="000F501F">
        <w:rPr>
          <w:rFonts w:ascii="Bookman Old Style" w:hAnsi="Bookman Old Style" w:cs="Helvetica"/>
          <w:sz w:val="22"/>
          <w:szCs w:val="22"/>
        </w:rPr>
        <w:t>Con sentenza della CTR della Puglia veniva rigettato l’appello proposto dall’Agenzia delle entrate contro la decisione della CTP di Lecce che aveva accolto il ricorso del contribuente, avverso la richiesta di rimborso Irap per gli anni dal 1999 al 2001, posto che egli era privo, nello svolgimento della sua attività di consulente finanziario, di qualsivoglia autonoma organizzazione.</w:t>
      </w:r>
      <w:r w:rsidRPr="000F501F">
        <w:rPr>
          <w:rFonts w:ascii="Bookman Old Style" w:hAnsi="Bookman Old Style" w:cs="Helvetica"/>
          <w:sz w:val="22"/>
          <w:szCs w:val="22"/>
        </w:rPr>
        <w:br/>
        <w:t>Avverso tale decisione l’Agenzia delle entrate ha proposto ricorso, articolando tre motivi. Nel primo motivo lamenta la violazione di legge laddove la Commissione aveva operato un’inammissibile scissione fra il contributo personale del contribuente alla formazione del reddito e l’apporto della struttura di cui si era avvalso. Apporto che, per esser rilevante ai fini della imposizione Irap, è sufficiente che abbia consentito un concreto incremento della prestazione intellettuale fornita alla clientela dal contribuente. Con il secondo motivo censura il difetto di motivazione posto che non si era spiegato come il contributo offerto dal figlio, pur assunto come praticante, non avesse determinato alcun incremento della prestazione del contribuente. Nel terzo motivo deduce la mancata pronuncia sulla decadenza del rimborso, eccepita nel gravame di merito. L’istanza era stata presentata oltre 48 mesi dopo alcuni dei versamenti effettuati.</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rPr>
      </w:pPr>
      <w:r w:rsidRPr="000F501F">
        <w:rPr>
          <w:rFonts w:ascii="Bookman Old Style" w:hAnsi="Bookman Old Style" w:cs="Helvetica"/>
          <w:sz w:val="22"/>
          <w:szCs w:val="22"/>
        </w:rPr>
        <w:t>Per la Suprema Corte il ricorso è fondato e va pertanto accolto con rinvio alla CTR della Puglia per nuovo esame e per il regolamento delle spese del presente grado di giudizio.</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rPr>
      </w:pPr>
      <w:r w:rsidRPr="000F501F">
        <w:rPr>
          <w:rFonts w:ascii="Bookman Old Style" w:hAnsi="Bookman Old Style" w:cs="Helvetica"/>
          <w:sz w:val="22"/>
          <w:szCs w:val="22"/>
        </w:rPr>
        <w:t>In tema di imposta regionale sulle attività produttive, il presupposto dell’autonoma organizzazione non ricorre quando il contribuente responsabile dell’organizzazione impieghi beni strumentali non eccedenti il minimo indispensabile all’esercizio dell’attività e si avvalga di lavoro altrui non eccedente l’impiego di un dipendente con mansioni esecutive.</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rPr>
      </w:pPr>
      <w:r w:rsidRPr="000F501F">
        <w:rPr>
          <w:rFonts w:ascii="Bookman Old Style" w:hAnsi="Bookman Old Style" w:cs="Helvetica"/>
          <w:sz w:val="22"/>
          <w:szCs w:val="22"/>
        </w:rPr>
        <w:t>In applicazione di tale principio di diritto, la Commissione regionale non poteva, così, limitarsi ad affermare che l’apporto di un praticante non avesse di per sé potuto costituire un concreto incremento della prestazione intellettuale, ma avrebbe dovuto vagliare se il professionista che se ne era avvalso avesse, con tale apporto, certamente di natura intellettuale e proprio della professione da questi esercitata, accresciuto il valore della consulenza fornita ai clienti dello studio, considerando anche che si era determinato a corrispondere a tale collaboratore un emolumento.</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bCs/>
          <w:sz w:val="22"/>
          <w:szCs w:val="22"/>
        </w:rPr>
      </w:pPr>
      <w:r w:rsidRPr="000F501F">
        <w:rPr>
          <w:rFonts w:ascii="Bookman Old Style" w:hAnsi="Bookman Old Style" w:cs="Helvetica"/>
          <w:bCs/>
          <w:sz w:val="22"/>
          <w:szCs w:val="22"/>
        </w:rPr>
        <w:t>(Corte di cassazione, sentenza n. 1723 del 24 gennaio 2018)</w:t>
      </w:r>
    </w:p>
    <w:p w:rsidR="006649DC" w:rsidRPr="000F501F" w:rsidRDefault="006649DC" w:rsidP="000F501F">
      <w:pPr>
        <w:pStyle w:val="western"/>
        <w:shd w:val="clear" w:color="auto" w:fill="FFFFFF"/>
        <w:spacing w:before="0" w:beforeAutospacing="0" w:after="0" w:afterAutospacing="0"/>
        <w:rPr>
          <w:rFonts w:ascii="Bookman Old Style" w:hAnsi="Bookman Old Style" w:cs="Helvetica"/>
          <w:sz w:val="22"/>
          <w:szCs w:val="22"/>
        </w:rPr>
      </w:pPr>
    </w:p>
    <w:p w:rsidR="006649DC" w:rsidRPr="000F501F" w:rsidRDefault="006649DC" w:rsidP="000F501F">
      <w:pPr>
        <w:shd w:val="clear" w:color="auto" w:fill="FFFFFF"/>
        <w:jc w:val="both"/>
        <w:rPr>
          <w:rFonts w:ascii="Bookman Old Style" w:hAnsi="Bookman Old Style" w:cs="Helvetica"/>
          <w:sz w:val="22"/>
          <w:szCs w:val="22"/>
          <w:u w:val="single"/>
        </w:rPr>
      </w:pPr>
      <w:r w:rsidRPr="000F501F">
        <w:rPr>
          <w:rFonts w:ascii="Bookman Old Style" w:hAnsi="Bookman Old Style" w:cs="Helvetica"/>
          <w:bCs/>
          <w:sz w:val="22"/>
          <w:szCs w:val="22"/>
          <w:u w:val="single"/>
        </w:rPr>
        <w:t>Ai beni immobiliari attribuiti al trust si applica l’imposta di registro in misura fissa</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Ai beni attribuiti al trust, rimasti distinti e separati da quelli del trustee e del disponente si applica il regime di tassazione residuale.</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Difatti, la </w:t>
      </w:r>
      <w:r w:rsidRPr="000F501F">
        <w:rPr>
          <w:rFonts w:ascii="Bookman Old Style" w:hAnsi="Bookman Old Style" w:cs="Helvetica"/>
          <w:bCs/>
          <w:sz w:val="22"/>
          <w:szCs w:val="22"/>
        </w:rPr>
        <w:t>Corte di cassazione</w:t>
      </w:r>
      <w:r w:rsidRPr="000F501F">
        <w:rPr>
          <w:rFonts w:ascii="Bookman Old Style" w:hAnsi="Bookman Old Style" w:cs="Helvetica"/>
          <w:sz w:val="22"/>
          <w:szCs w:val="22"/>
        </w:rPr>
        <w:t>, con la </w:t>
      </w:r>
      <w:r w:rsidRPr="000F501F">
        <w:rPr>
          <w:rFonts w:ascii="Bookman Old Style" w:hAnsi="Bookman Old Style" w:cs="Helvetica"/>
          <w:bCs/>
          <w:sz w:val="22"/>
          <w:szCs w:val="22"/>
        </w:rPr>
        <w:t>sentenza n. 975 del 17 gennaio 2018</w:t>
      </w:r>
      <w:r w:rsidRPr="000F501F">
        <w:rPr>
          <w:rFonts w:ascii="Bookman Old Style" w:hAnsi="Bookman Old Style" w:cs="Helvetica"/>
          <w:sz w:val="22"/>
          <w:szCs w:val="22"/>
        </w:rPr>
        <w:t>, ritiene che il regime di tassazione di tale atto non possa essere quello dell’imposta proporzionale di cui agli artt. 1 (atti traslativi a titolo oneroso), 9 (atti diversi, aventi ad oggetto prestazioni a contenuto patrimoniale), e 3 (atti di natura dichiarativa) della tariffa, parte prima, allegata al D.P.R. n. 131 del 1986, ma quello della categoria residuale, disciplinata dall’art. 11 della tariffa stessa, con conseguente applicabilità, nella specie, dell’imposta nella misura fissa ivi indicata.</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Alla luce del principio, quindi, è errata l’affermazione dell’Agenzia delle Entrate per cui il trasferimento dei beni in trust, pur non avendo natura onerosa, deve ritenersi operazione di carattere patrimoniale, come tale comunque assoggettabile, sin da subito, ad imposta, nella misura proporzionale del 3% ex art. 9 della tariffa allegata al D.P.R. n. 131 del 1986.</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Quanto detto vale anche per le imposte ipotecaria e catastale, giacché va ricordato che l’atto soggetto a trascrizione, ma non produttivo di effetto traslativo in senso proprio (id est, definitivo), postula l’applicazione di dette imposte in misura fissa (art. 1 del D.Lgs. n. 347 del 1990 e 4 dell’allegata tariffa, quanto all’ipotecaria; art. 10, comma 2, del D.Lgs. cit., quanto alla catastale).</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w:t>
      </w:r>
      <w:r w:rsidRPr="000F501F">
        <w:rPr>
          <w:rFonts w:ascii="Bookman Old Style" w:hAnsi="Bookman Old Style" w:cs="Helvetica"/>
          <w:bCs/>
          <w:sz w:val="22"/>
          <w:szCs w:val="22"/>
        </w:rPr>
        <w:t>Corte di cassazione</w:t>
      </w:r>
      <w:r w:rsidRPr="000F501F">
        <w:rPr>
          <w:rFonts w:ascii="Bookman Old Style" w:hAnsi="Bookman Old Style" w:cs="Helvetica"/>
          <w:sz w:val="22"/>
          <w:szCs w:val="22"/>
        </w:rPr>
        <w:t xml:space="preserve">, </w:t>
      </w:r>
      <w:r w:rsidRPr="000F501F">
        <w:rPr>
          <w:rFonts w:ascii="Bookman Old Style" w:hAnsi="Bookman Old Style" w:cs="Helvetica"/>
          <w:bCs/>
          <w:sz w:val="22"/>
          <w:szCs w:val="22"/>
        </w:rPr>
        <w:t>sentenza n. 975 del 17 gennaio 2018</w:t>
      </w:r>
      <w:r w:rsidRPr="000F501F">
        <w:rPr>
          <w:rFonts w:ascii="Bookman Old Style" w:hAnsi="Bookman Old Style" w:cs="Helvetica"/>
          <w:sz w:val="22"/>
          <w:szCs w:val="22"/>
        </w:rPr>
        <w:t>)</w:t>
      </w:r>
    </w:p>
    <w:p w:rsidR="006649DC" w:rsidRPr="005C2552" w:rsidRDefault="006649DC" w:rsidP="005C2552"/>
    <w:p w:rsidR="006649DC" w:rsidRDefault="006649DC" w:rsidP="0082389A">
      <w:pPr>
        <w:pStyle w:val="Heading3"/>
        <w:rPr>
          <w:b/>
          <w:sz w:val="28"/>
          <w:szCs w:val="28"/>
          <w:u w:val="none"/>
        </w:rPr>
      </w:pPr>
    </w:p>
    <w:p w:rsidR="006649DC" w:rsidRDefault="006649DC" w:rsidP="0082389A">
      <w:pPr>
        <w:pStyle w:val="Heading3"/>
        <w:rPr>
          <w:b/>
          <w:sz w:val="28"/>
          <w:szCs w:val="28"/>
          <w:u w:val="none"/>
        </w:rPr>
      </w:pPr>
    </w:p>
    <w:p w:rsidR="006649DC" w:rsidRDefault="006649DC" w:rsidP="0082389A">
      <w:pPr>
        <w:pStyle w:val="Heading3"/>
        <w:rPr>
          <w:b/>
          <w:sz w:val="28"/>
          <w:szCs w:val="28"/>
          <w:u w:val="none"/>
        </w:rPr>
      </w:pPr>
    </w:p>
    <w:p w:rsidR="006649DC" w:rsidRDefault="006649DC" w:rsidP="0082389A">
      <w:pPr>
        <w:pStyle w:val="Heading3"/>
        <w:rPr>
          <w:b/>
          <w:sz w:val="28"/>
          <w:szCs w:val="28"/>
          <w:u w:val="none"/>
        </w:rPr>
      </w:pPr>
      <w:bookmarkStart w:id="169" w:name="_Toc506559966"/>
      <w:r w:rsidRPr="003B1B09">
        <w:rPr>
          <w:b/>
          <w:sz w:val="28"/>
          <w:szCs w:val="28"/>
          <w:u w:val="none"/>
        </w:rPr>
        <w:t>ACCERTAMENTO / RISCOSSIONE / CONTENZIOSO</w:t>
      </w:r>
      <w:bookmarkEnd w:id="169"/>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u w:val="single"/>
        </w:rPr>
      </w:pPr>
      <w:r w:rsidRPr="000F501F">
        <w:rPr>
          <w:rFonts w:ascii="Bookman Old Style" w:hAnsi="Bookman Old Style"/>
          <w:sz w:val="22"/>
          <w:szCs w:val="22"/>
          <w:u w:val="single"/>
        </w:rPr>
        <w:t xml:space="preserve">Se la società vende beni rottamabili è immune dagli studi di settore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Studi di settore inapplicabili se la società vende beni da rottamare, ovvero se la società vende beni obsoleti, niente studi di settore.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Difatti, la Corte di cassazione, con la sentenza n. 2006 del 26 gennaio 2018, ha stabilito che è illegittimo l’accertamento basato sugli studi di settore quando la società ha venduto beni obsoleti e da rottamare a un prezzo, dunque, molto basso.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La Suprema Corte ha, così, accolto il ricorso presentato dal contribuente.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La società aveva impugnato l'avviso di accertamento con cui l'agenzia delle entrate aveva accertato un maggior volume di ricavi per l'anno 2000 di ex lire 98.402.000 rettificando il reddito d'impresa. La commissione tributaria provinciale di Roma accoglieva il successivo ricorso parzialmente dichiarando l'insussistenza dei maggiori ricavi accertati.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Proposto appello da parte dell'Agenzia delle entrate, la commissione tributaria regionale del Lazio lo accoglieva sul rilievo che sussisteva la presunzione di cessione prevista dall'articolo 1 del d.p.r. 441/1997 con riguardo ai beni che non erano stati rinvenuti nel magazzino.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La società ha, quindi, presentato ricorso in cassazione, rilevando che, nel caso di specie, non si era trattato di distruzione ma di normale vendita di beni obsoleti effettuata al valore congruo di mercato e la vendita medesima era avvenuta con regolare fattura mentre, qualora la contribuente avesse voluto distruggere i beni, non avrebbe fatto ricorso alla cessione a titolo oneroso ma avrebbe effettuato le comunicazioni previste dal d.p.r. 441/97. Ne conseguiva che era illogica la qualificazione dell'operazione come distruzione quando, nel contempo, l'ufficio non aveva provveduto a stornare i proventi incassati dai contribuenti dalla vendita.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 xml:space="preserve">La CTR era, dunque, incorsa in confusione perché non aveva scorto la differenza tra distruzione, rottamazione e cessione dei beni laddove i contribuenti avevano provato la cessione con documenti mai contestati dall'Ufficio. E, difatti, la Corte Suprema ha osservato che in tal modo la CTR ha confuso il concetto di vendita di prodotti obsoleti a prezzo basso - operazione del tutto lecita potendo, semmai, essere contestata la veridicità delle scritture contabili - con quello di distruzione degli stessi. Inoltre la CTR non ha dato conto delle ragioni per le quali si doveva ritenere che i beni fossero stati ceduti al prezzo normale di mercato (operando la presunzione di cui all'art. 1 d.p.r. 441/97 in www.commercialistatelematico.com E’ vietata ogni riproduzione totale o parziale di qualsiasi tipologia di testo, immagine o altro. Ogni riproduzione non espressamente autorizzata è violativa della Legge 633/1941 e pertanto perseguibile penalmente difetto di idonea documentazione che provasse la distruzione ) e non, invece, che si trattava di cessione a terzi di beni obsoleti, per il che sarebbe stato giustificato il basso prezzo di cessione. Il ricorso della società è stato, dunque, accolto e l'impugnata decisione (cassata) è stata rinviata alla Commissione Tributaria Regionale del Lazio in diversa composizione che, adeguandosi ai principi esposti, procederà alle necessarie verifiche e deciderà nel merito oltre che sulle spese di questo giudizio di legittimità. </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r w:rsidRPr="000F501F">
        <w:rPr>
          <w:rFonts w:ascii="Bookman Old Style" w:hAnsi="Bookman Old Style"/>
          <w:sz w:val="22"/>
          <w:szCs w:val="22"/>
        </w:rPr>
        <w:t>(Corte di cassazione, sentenza n. 2006 del 26 gennaio 2018)</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sz w:val="22"/>
          <w:szCs w:val="22"/>
        </w:rPr>
      </w:pPr>
    </w:p>
    <w:p w:rsidR="006649DC" w:rsidRPr="000F501F" w:rsidRDefault="006649DC" w:rsidP="000F501F">
      <w:pPr>
        <w:shd w:val="clear" w:color="auto" w:fill="FFFFFF"/>
        <w:jc w:val="both"/>
        <w:rPr>
          <w:rFonts w:ascii="Bookman Old Style" w:hAnsi="Bookman Old Style" w:cs="Helvetica"/>
          <w:sz w:val="22"/>
          <w:szCs w:val="22"/>
          <w:u w:val="single"/>
        </w:rPr>
      </w:pPr>
      <w:r w:rsidRPr="000F501F">
        <w:rPr>
          <w:rFonts w:ascii="Bookman Old Style" w:hAnsi="Bookman Old Style" w:cs="Helvetica"/>
          <w:bCs/>
          <w:sz w:val="22"/>
          <w:szCs w:val="22"/>
          <w:u w:val="single"/>
        </w:rPr>
        <w:t>Per i controlli automatici non occorre la comunicazione di irregolarità</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La Comm. Trib. Reg. per la Campania ribadisce la posizione della Cassazione sull’omessa notifica della comunicazione di irregolarità successiva a controllo automatizzato.</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In caso di riscossione a seguito di controllo automatizzato, l’invio al contribuente della comunicazione di irregolarità è dovuto solo ove dai controlli automatici emerga un risultato diverso rispetto a quello indicato nella dichiarazione ovvero un’imposta o una maggiore imposta.</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sz w:val="22"/>
          <w:szCs w:val="22"/>
        </w:rPr>
        <w:t>In base a tale principio pronunciato dalla Suprema Corte nella sentenza n. 29408 del 07/12/2017 i giudici regionali campani hanno ritenuto infondato l’appello del contribuente che aveva impugnato la sentenza di rigetto del proprio ricorso avverso l’intimazione di pagamento ricevuta. Infatti il caso di specie tratta di una ipotesi di omesso o tardivo versamento che implica un controllo di tipo documentale sulla dichiarazione, senza margini di tipo interpretativo, neppure spettando, in tale caso, la riduzione delle sanzioni amministrative.</w:t>
      </w:r>
    </w:p>
    <w:p w:rsidR="006649DC" w:rsidRPr="000F501F" w:rsidRDefault="006649DC" w:rsidP="000F501F">
      <w:pPr>
        <w:shd w:val="clear" w:color="auto" w:fill="FFFFFF"/>
        <w:jc w:val="both"/>
        <w:rPr>
          <w:rFonts w:ascii="Bookman Old Style" w:hAnsi="Bookman Old Style" w:cs="Helvetica"/>
          <w:sz w:val="22"/>
          <w:szCs w:val="22"/>
        </w:rPr>
      </w:pPr>
      <w:r w:rsidRPr="000F501F">
        <w:rPr>
          <w:rFonts w:ascii="Bookman Old Style" w:hAnsi="Bookman Old Style" w:cs="Helvetica"/>
          <w:bCs/>
          <w:sz w:val="22"/>
          <w:szCs w:val="22"/>
        </w:rPr>
        <w:t>(Comm. Trib. Reg. per la Campania, sentenza n. 10976/2 del 27/12/2017)</w:t>
      </w:r>
    </w:p>
    <w:p w:rsidR="006649DC" w:rsidRPr="000F501F" w:rsidRDefault="006649DC" w:rsidP="000F501F">
      <w:pPr>
        <w:shd w:val="clear" w:color="auto" w:fill="FFFFFF"/>
        <w:jc w:val="both"/>
        <w:rPr>
          <w:rFonts w:ascii="Bookman Old Style" w:hAnsi="Bookman Old Style" w:cs="Helvetica"/>
          <w:sz w:val="22"/>
          <w:szCs w:val="22"/>
        </w:rPr>
      </w:pP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u w:val="single"/>
        </w:rPr>
      </w:pPr>
      <w:r w:rsidRPr="000F501F">
        <w:rPr>
          <w:rFonts w:ascii="Bookman Old Style" w:hAnsi="Bookman Old Style" w:cs="Helvetica"/>
          <w:bCs/>
          <w:sz w:val="22"/>
          <w:szCs w:val="22"/>
          <w:u w:val="single"/>
        </w:rPr>
        <w:t>Accertamenti: termini per le notifiche del Comune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E’ annullabile l’avviso di accertamento di un Comune per la notifica avvenuta oltre il termine prescritto dei cinque anni.</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E’ quanto stabilito dalla CTP di Lecce con la sentenza n. 1972/2016 che ha accolto totalmente il ricorso del contribuente, considerata la sentenza n. 24822 del 09/12/2015 delle Sezioni Unite della Corte di Cassazione.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Peraltro, l’art. 1, comma 161 della Legge n. 296 del 27/12/2006 dispone che il Comune deve notificare l’avviso di accertamento dei tributi omessi entro il 31 dicembre del quinto anno successivo al periodo d’imposta di riferimento.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Tuttavia, secondo la Corte Costituzionale, vale la data di spedizione per il mittente, mentre dalla data di ricezione iniziano a decorrere i termini per impugnare da parte del ricevente.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Se ad. esempio un avviso è stato notificato il giorno 8 gennaio, senza timbro sulla busta (tracciando online la raccomandata non riporta la data di presa in carico in cui il mittente ha affidato al servizio postale la busta) ma solo la data di inizio lavorazione giorno 5 gennaio, allora potrebbe convenire fare sollevando la relativa eccezione.</w:t>
      </w:r>
    </w:p>
    <w:p w:rsidR="006649DC" w:rsidRPr="000F501F" w:rsidRDefault="006649DC" w:rsidP="000F501F">
      <w:pPr>
        <w:pStyle w:val="NormalWeb"/>
        <w:shd w:val="clear" w:color="auto" w:fill="FFFFFF"/>
        <w:spacing w:before="0" w:beforeAutospacing="0" w:after="0" w:afterAutospacing="0"/>
        <w:jc w:val="both"/>
        <w:rPr>
          <w:rStyle w:val="Strong"/>
          <w:rFonts w:ascii="Bookman Old Style" w:hAnsi="Bookman Old Style" w:cs="Helvetica"/>
          <w:b w:val="0"/>
          <w:bCs/>
          <w:sz w:val="22"/>
          <w:szCs w:val="22"/>
        </w:rPr>
      </w:pPr>
      <w:r w:rsidRPr="000F501F">
        <w:rPr>
          <w:rStyle w:val="Strong"/>
          <w:rFonts w:ascii="Bookman Old Style" w:hAnsi="Bookman Old Style" w:cs="Helvetica"/>
          <w:b w:val="0"/>
          <w:bCs/>
          <w:sz w:val="22"/>
          <w:szCs w:val="22"/>
        </w:rPr>
        <w:t>(</w:t>
      </w:r>
      <w:r w:rsidRPr="000F501F">
        <w:rPr>
          <w:rFonts w:ascii="Bookman Old Style" w:hAnsi="Bookman Old Style" w:cs="Helvetica"/>
          <w:sz w:val="22"/>
          <w:szCs w:val="22"/>
        </w:rPr>
        <w:t>CTP di Lecce con la sentenza n. 1972/2016</w:t>
      </w:r>
      <w:r w:rsidRPr="000F501F">
        <w:rPr>
          <w:rStyle w:val="Strong"/>
          <w:rFonts w:ascii="Bookman Old Style" w:hAnsi="Bookman Old Style" w:cs="Helvetica"/>
          <w:b w:val="0"/>
          <w:bCs/>
          <w:sz w:val="22"/>
          <w:szCs w:val="22"/>
        </w:rPr>
        <w:t>)</w:t>
      </w:r>
    </w:p>
    <w:p w:rsidR="006649DC" w:rsidRPr="000F501F" w:rsidRDefault="006649DC" w:rsidP="000F501F">
      <w:pPr>
        <w:pStyle w:val="NormalWeb"/>
        <w:shd w:val="clear" w:color="auto" w:fill="FFFFFF"/>
        <w:spacing w:before="0" w:beforeAutospacing="0" w:after="0" w:afterAutospacing="0"/>
        <w:jc w:val="both"/>
        <w:rPr>
          <w:rFonts w:ascii="Bookman Old Style" w:hAnsi="Bookman Old Style" w:cs="Helvetica"/>
          <w:bCs/>
          <w:sz w:val="22"/>
          <w:szCs w:val="22"/>
        </w:rPr>
      </w:pP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u w:val="single"/>
        </w:rPr>
      </w:pPr>
      <w:r w:rsidRPr="000F501F">
        <w:rPr>
          <w:rFonts w:ascii="Bookman Old Style" w:hAnsi="Bookman Old Style" w:cs="Helvetica"/>
          <w:bCs/>
          <w:sz w:val="22"/>
          <w:szCs w:val="22"/>
          <w:u w:val="single"/>
        </w:rPr>
        <w:t>Legittima la revisione del classamento per gli immobili ubicati in “microzone”</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E’ costituzionalmente legittima la norma (art. 1, comma 335, della legge 30 dicembre 2004, n. 311) che prevede il riclassamento di unità immobiliari ubicate in microzone nelle quali il rapporto tra il valore medio di mercato (individuato ai sensi del d.P.R. 23 marzo 1998, n. 138) e il corrispondente valore medio catastale, ai fini dell’applicazione dell’imposta immobiliare, si discosta significativamente dall’analogo rapporto relativo all’insieme delle microzone comunali. La Consulta ha, così, dichiarato non fondata la questione di legittimità costituzionale della citata norma, sollevata dalla CTR del Lazio con riferimento agli artt. 3, 53 e 97 della Costituzione. Nello specifico la Corte ha ritenuto che la censura relativa all’art. 3 della Costituzione non sia riferibile alla previsione della norma ma sia ricollegabile a circostanze contingenti, quale la maggiore o minore sollecitudine del Comune di riferimento nel formulare la richiesta all’Agenzia del Territorio. Per quanto riguarda, invece, i profili di incostituzionalità della norma in relazione all’art. 53 i giudici hanno spiegato come l’adeguamento della rendita catastale derivante dall’accertamento di una modifica del valore degli immobili presenti in una determinata microzona sia del tutto ragionevole in quanto volto ad eliminare una sperequazione esistente a livello impositivo. Infine la Consulta ha bocciato la censura riferita all’art. 97 in quanto risulta incomprensibile come il rischio che l’Amministrazione sia esposta ad azioni giudiziarie possa rilevare nel senso dell’incostituzionalità di una disciplina.</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bCs/>
          <w:sz w:val="22"/>
          <w:szCs w:val="22"/>
        </w:rPr>
      </w:pPr>
      <w:r w:rsidRPr="000F501F">
        <w:rPr>
          <w:rFonts w:ascii="Bookman Old Style" w:hAnsi="Bookman Old Style" w:cs="Helvetica"/>
          <w:bCs/>
          <w:sz w:val="22"/>
          <w:szCs w:val="22"/>
        </w:rPr>
        <w:t>(Corte Costituzionale, sentenza n. 249 del 01/12/2017)</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u w:val="single"/>
        </w:rPr>
        <w:t>Illegittimità dell’atto impositivo anticipato</w:t>
      </w:r>
    </w:p>
    <w:p w:rsidR="006649DC" w:rsidRPr="000F501F" w:rsidRDefault="006649DC" w:rsidP="000F501F">
      <w:pPr>
        <w:pStyle w:val="western"/>
        <w:shd w:val="clear" w:color="auto" w:fill="FFFFFF"/>
        <w:spacing w:before="0" w:beforeAutospacing="0" w:after="0" w:afterAutospacing="0"/>
        <w:jc w:val="both"/>
        <w:rPr>
          <w:rFonts w:ascii="Bookman Old Style" w:hAnsi="Bookman Old Style" w:cs="Helvetica"/>
          <w:sz w:val="22"/>
          <w:szCs w:val="22"/>
        </w:rPr>
      </w:pPr>
      <w:r w:rsidRPr="000F501F">
        <w:rPr>
          <w:rFonts w:ascii="Bookman Old Style" w:hAnsi="Bookman Old Style" w:cs="Helvetica"/>
          <w:sz w:val="22"/>
          <w:szCs w:val="22"/>
        </w:rPr>
        <w:t>Il termine di 60 giorni è perentorio Illegittimità dell’atto impositivo emesso “ante tempus”: il termine di 60 giorni è perentorio. L’inosservanza del termine dilatorio di sessanta giorni dal rilascio della copia del pvc (art. 12, comma 7, L. n. 212/2000) per l’emanazione dell’avviso di accertamento determina di per sé, salvo che ricorrano specifiche ragioni di urgenza, l’illegittimità dell’atto impositivo emesso ‘ante tempus’. Tale termine è, secondo l’orientamento della Suprema Corte a cui si ispira la pronuncia della CTR emiliana, posto a garanzia del pieno dispiegarsi del contraddittorio procedimentale (Cass. ss. uu. n. 18184/2013). I giudici d’appello, contrariamente a quanto sostenuto dalla CTP, affermano che il termine di 60 giorni non può in nessun modo essere considerato ordinatorio, essendo, invece, il suo rispetto posto come condizione di legittimità dell’accertamento. Per quanto riguarda, infine, la verifica della sussistenza dei motivi dedotti dall’Ufficio per giustificare il mancato rispetto del termine, questa spetta al giudice che, nel caso di specie, ha ritenuto che nessuna delle giustificazioni addotte sia idonea a integrare i requisiti di urgenza previsti dalla norma come deroga all’iter che deve esser seguito dall’Ufficio. (Comm. Trib. Reg. per l'Emilia-Romagna, sentenza n. 3003/11 del 02/11/2017)</w:t>
      </w:r>
    </w:p>
    <w:p w:rsidR="006649DC" w:rsidRDefault="006649DC" w:rsidP="0082389A">
      <w:pPr>
        <w:pStyle w:val="Heading3"/>
        <w:rPr>
          <w:b/>
          <w:color w:val="000000"/>
          <w:sz w:val="28"/>
          <w:szCs w:val="28"/>
          <w:u w:val="none"/>
        </w:rPr>
      </w:pPr>
    </w:p>
    <w:p w:rsidR="006649DC" w:rsidRDefault="006649DC" w:rsidP="005C2552"/>
    <w:p w:rsidR="006649DC" w:rsidRPr="005C2552" w:rsidRDefault="006649DC" w:rsidP="005C2552"/>
    <w:p w:rsidR="006649DC" w:rsidRDefault="006649DC" w:rsidP="0082389A">
      <w:pPr>
        <w:pStyle w:val="Heading3"/>
        <w:rPr>
          <w:b/>
          <w:color w:val="000000"/>
          <w:sz w:val="28"/>
          <w:szCs w:val="28"/>
          <w:u w:val="none"/>
        </w:rPr>
      </w:pPr>
    </w:p>
    <w:p w:rsidR="006649DC" w:rsidRDefault="006649DC" w:rsidP="0082389A">
      <w:pPr>
        <w:pStyle w:val="Heading3"/>
        <w:rPr>
          <w:b/>
          <w:color w:val="000000"/>
          <w:sz w:val="28"/>
          <w:szCs w:val="28"/>
          <w:u w:val="none"/>
        </w:rPr>
      </w:pPr>
      <w:bookmarkStart w:id="170" w:name="_Toc506559967"/>
      <w:r w:rsidRPr="005D7932">
        <w:rPr>
          <w:b/>
          <w:color w:val="000000"/>
          <w:sz w:val="28"/>
          <w:szCs w:val="28"/>
          <w:u w:val="none"/>
        </w:rPr>
        <w:t>VARIE</w:t>
      </w:r>
      <w:bookmarkEnd w:id="170"/>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u w:val="single"/>
        </w:rPr>
      </w:pPr>
      <w:r w:rsidRPr="0084312D">
        <w:rPr>
          <w:rFonts w:ascii="Bookman Old Style" w:hAnsi="Bookman Old Style" w:cs="Helvetica"/>
          <w:bCs/>
          <w:sz w:val="22"/>
          <w:szCs w:val="22"/>
          <w:u w:val="single"/>
        </w:rPr>
        <w:t>Decorre dalla data di stipula dell’atto il termine per la revoca delle agevolazioni “prima casa”</w:t>
      </w: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Il termine triennale per l’emissione dell’avviso di liquidazione relativo alla revoca delle agevolazioni “prima casa”, conseguente al mancato trasferimento entro 18 mesi dall’acquisto della residenza nel comune ove è ubicato l’immobile, scatta dal diciottesimo mese successivo alla registrazione dell’atto. La Suprema Corte, rifacendosi ad alcune proprie precedenti pronunce (ord. nn. 2527/2014, 9776/2009 e sent. SS. UU. n. 1196/2000) ha, dunque, cassato la sentenza della CTR lombarda. Quest’ultima, infatti, aveva ritenuto, in linea con quanto invocato dal contribuente, che il termine triennale entro cui l’amministrazione, a norma dell’art. 76, secondo comma, del d.P.R. 26 aprile 1986, n. 131, può emettere il proprio avviso di liquidazione decorresse dalla data della registrazione dell’atto.</w:t>
      </w: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bCs/>
          <w:sz w:val="22"/>
          <w:szCs w:val="22"/>
        </w:rPr>
      </w:pPr>
      <w:r w:rsidRPr="0084312D">
        <w:rPr>
          <w:rFonts w:ascii="Bookman Old Style" w:hAnsi="Bookman Old Style" w:cs="Helvetica"/>
          <w:bCs/>
          <w:sz w:val="22"/>
          <w:szCs w:val="22"/>
        </w:rPr>
        <w:t>(Corte di cassazione, ordinanza n. 28860/6 del 01/12/2017)</w:t>
      </w: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AD2123">
      <w:pPr>
        <w:pStyle w:val="NormalWeb"/>
        <w:shd w:val="clear" w:color="auto" w:fill="FFFFFF"/>
        <w:spacing w:before="0" w:beforeAutospacing="0" w:after="0" w:afterAutospacing="0"/>
        <w:jc w:val="both"/>
        <w:rPr>
          <w:rStyle w:val="Strong"/>
          <w:rFonts w:ascii="Bookman Old Style" w:hAnsi="Bookman Old Style" w:cs="Helvetica"/>
          <w:b w:val="0"/>
          <w:bCs/>
          <w:sz w:val="22"/>
          <w:szCs w:val="22"/>
          <w:u w:val="single"/>
        </w:rPr>
      </w:pPr>
      <w:r w:rsidRPr="0084312D">
        <w:rPr>
          <w:rStyle w:val="Strong"/>
          <w:rFonts w:ascii="Bookman Old Style" w:hAnsi="Bookman Old Style" w:cs="Helvetica"/>
          <w:b w:val="0"/>
          <w:bCs/>
          <w:sz w:val="22"/>
          <w:szCs w:val="22"/>
          <w:u w:val="single"/>
        </w:rPr>
        <w:t>Organizzazione di convegni medici: le spese rientrano tra quelle di rappresentanza</w:t>
      </w:r>
    </w:p>
    <w:p w:rsidR="006649DC" w:rsidRPr="0084312D" w:rsidRDefault="006649DC" w:rsidP="00AD2123">
      <w:pPr>
        <w:pStyle w:val="NormalWeb"/>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Le spese sostenute per l’organizzazione di convegni medici rientrano tra le spese di rappresentanza e non tra quelle di pubblicità. La Corte di Cassazione ha deciso per il rinvio alla competente CTR del caso in esame poiché quest’ultima, mentre, da un lato, aveva correttamente ricondotto le spese di ospitalità a quelle di rappresentanza, dall’altro, aveva indistintamente qualificato le spese “per l’organizzazione dei convegni e spese di trasferimento” come di pubblicità sul solo presupposto che l’organizzazione dei convegni rispondesse alla finalità di portare a conoscenza l’offerta del prodotto. La Suprema Corte richiama il proprio orientamento contenuto nella sentenza n. 3087 del 2016, secondo la quale costituiscono spese di rappresentanza quelle volte ad accrescere l’immagine o il prestigio dell’azienda, mentre sono spese di pubblicità quelle sostenute per iniziative rivolte alla pubblicizzazione di prodotti, marchi e servizi, o comunque all’attività svolta. Sul punto i supremi giudici rilevano anche una sensibile oscillazione della giurisprudenza sul caso di specie poiché le spese sostenute per l’organizzazione di congressi e convegni di breve durata, mentre in passato erano incluse tra quelle pubblicitarie (Cass. nn. 25053/2006 e 15268/2000), più recentemente sono state ricondotte alle spese di rappresentanza (Cass. nn. 2276/2011 e 21270/2008).</w:t>
      </w:r>
    </w:p>
    <w:p w:rsidR="006649DC" w:rsidRPr="0084312D" w:rsidRDefault="006649DC" w:rsidP="00AD2123">
      <w:pPr>
        <w:pStyle w:val="NormalWeb"/>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(Corte di cassazione, ordinanza n. 28695/5 del 30/11/2017)</w:t>
      </w:r>
    </w:p>
    <w:p w:rsidR="006649DC" w:rsidRPr="0084312D" w:rsidRDefault="006649DC" w:rsidP="00AD2123">
      <w:pPr>
        <w:pStyle w:val="NormalWeb"/>
        <w:shd w:val="clear" w:color="auto" w:fill="FFFFFF"/>
        <w:spacing w:before="0" w:beforeAutospacing="0" w:after="0" w:afterAutospacing="0"/>
        <w:jc w:val="both"/>
        <w:rPr>
          <w:rFonts w:ascii="Bookman Old Style" w:hAnsi="Bookman Old Style" w:cs="Helvetica"/>
          <w:b/>
          <w:bCs/>
          <w:sz w:val="22"/>
          <w:szCs w:val="22"/>
        </w:rPr>
      </w:pP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u w:val="single"/>
        </w:rPr>
      </w:pPr>
      <w:r w:rsidRPr="0084312D">
        <w:rPr>
          <w:rFonts w:ascii="Bookman Old Style" w:hAnsi="Bookman Old Style" w:cs="Helvetica"/>
          <w:sz w:val="22"/>
          <w:szCs w:val="22"/>
          <w:u w:val="single"/>
        </w:rPr>
        <w:t xml:space="preserve">Quando non è valida la notifica della cartella via PEC </w:t>
      </w: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xml:space="preserve">La notifica a mezzo pec non è valida se effettuata tramite messaggio di posta certificata contenente il file della cartella con estensione diversa da “.p7m”. Quest’ultima è, infatti, l’unica idonea a garantire non solo l’integrità e l’immodificabilità del documento informatico, ma anche la firma digitale e l’identificabilità del suo autore e, pertanto, la paternità dell’atto stesso. </w:t>
      </w: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xml:space="preserve">La CTR campana, citando il recente orientamento giurisprudenziale contenuto nell’ordinanza della Corte di Cassazione n. 20672 del 31 agosto 2017, ha così accolto l’appello proposto da una società a cui era stata notificata a mezzo pec una cartella di pagamento da parte di Equitalia per IRPEF 2012. I giudici napoletani affermano, infatti, che, come avvenuto nel caso di specie, la notifica in formato “.doc” o “.pdf” non rappresenta la produzione dell’originale del documento notificato, ma solo una copia elettronica senza valore poiché priva di attestato di conformità da parte di un pubblico ufficiale. </w:t>
      </w: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xml:space="preserve">(Comm. Trib. Reg. per la Campania, sentenza n. 9515/11 del 09/11/2017) </w:t>
      </w: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u w:val="single"/>
        </w:rPr>
      </w:pPr>
      <w:r w:rsidRPr="0084312D">
        <w:rPr>
          <w:rFonts w:ascii="Bookman Old Style" w:hAnsi="Bookman Old Style" w:cs="Helvetica"/>
          <w:sz w:val="22"/>
          <w:szCs w:val="22"/>
          <w:u w:val="single"/>
        </w:rPr>
        <w:t xml:space="preserve">Se manca la PEC, notifica della cartella presso la CCIAA </w:t>
      </w: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xml:space="preserve">Notifica della cartella in camera di commercio per le imprese e i professionisti privi di PEC funzionante. Le imprese individuali o costituite in forma societaria e i professionisti iscritti in albi o elenchi sono obbligati ad indicare un indirizzo di posta elettronica certificata al quale “esclusivamente” vengono inviate le notifiche delle cartelle da parte dell’agente della riscossione. Tali indirizzi sono inseriti nell’indice nazionale degli indirizzi di posta elettronica certificata (INI-PEC) e l’Ufficio finanziario può liberamente consultarli ed estrarli per eseguire le notifiche. Nei casi in cui l’indirizzo PEC non risulti valido e attivo, o quando la casella sia satura, l’ente riscossore deve eseguire la notificazione mediante deposito dell’atto presso gli uffici della Camera di Commercio competente per territorio, pubblicandone avviso sul sito informatico della stessa e dandone notizia al destinatario per raccomandata con avviso di ricevimento. In base a tali argomentazioni la CTP di Milano ha dichiarato inammissibile il ricorso presentato da un contribuente esercente attività di promotore finanziario che aveva eccepito la nullità della notifica della cartella via PEC. Nel caso di specie l’agente della riscossione, non avendo rinvenuto nell’INI-PEC alcun indirizzo di posta elettronica del contribuente valido e attivo, aveva provveduto a notificare telematicamente l’atto presso gli uffici della camera di commercio di Milano. L’agente aveva infine richiesto alla CCIAA la pubblicazione del relativo avviso di deposito sul sito informatico della stessa ed aveva spedito l’avvenuta notifica mediante deposito e pubblicazione ai sensi dell’art. 26, comma 2, D.P.R. 602/1973 con raccomandata consegnata nelle mani della consorte del ricorrente. </w:t>
      </w: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(Comm. Trib. Prov. di Milano, sentenza n. 6464/15 del 21/11/2017)</w:t>
      </w: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u w:val="single"/>
        </w:rPr>
      </w:pPr>
      <w:r w:rsidRPr="0084312D">
        <w:rPr>
          <w:rFonts w:ascii="Bookman Old Style" w:hAnsi="Bookman Old Style" w:cs="Helvetica"/>
          <w:sz w:val="22"/>
          <w:szCs w:val="22"/>
          <w:u w:val="single"/>
        </w:rPr>
        <w:t xml:space="preserve">Notifiche degli atti giudiziari ancora con Poste Italiane </w:t>
      </w: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xml:space="preserve">In relazione alle notifiche postali degli atti giudiziari per tramite degli addetti alle poste private e relativa operatività, si distingue l’ordinanza della Corte di cassazione n. 234 del 8 gennaio 2018, con la quale fino a quando non saranno rilasciate le nuove licenze individuali relative allo svolgimento dei servizi, già oggetto di riserva sulla base delle regole da predisporsi da parte dell'Autorità per le garanzie nelle comunicazioni (AGCOM), vale ancora l'orientamento di legittimità secondo cui la notificazione degli atti giudiziari eseguita tramite agenzia privata comporta l’inesistenza giuridica della relativa notifica. Come è noto, la liberalizzazione delle notificazioni a mezzo posta degli atti giudiziari e degli atti relativi alle violazioni del codice della strada è stata disposta dall'articolo 1, commi 57 e 58, della Legge n. 124/2017 (Legge annuale sulla concorrenza), norma che ha disposto, a partire dal 10 settembre 2017, la fine del monopolio di Poste italiane per la notifica di tali atti. Al fine di dare completa attuazione a questo processo, la Legge di bilancio 2018 (Legge n. 205/2017) ha introdotto alcune novità che modificano la disciplina in tema di notificazioni. </w:t>
      </w: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i/>
          <w:sz w:val="22"/>
          <w:szCs w:val="22"/>
        </w:rPr>
        <w:t>Anche gli addetti delle poste private sono pubblici ufficiali</w:t>
      </w: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xml:space="preserve">Viene così prescritto che il servizio postale per la notificazione degli atti in materia civile ed amministrativa possa essere erogato da operatori postali privati che siano in possesso della licenza rilasciata da parte del Ministero dello sviluppo economico, e che rispettino gli obblighi di qualità minima stabiliti dall’Autorità per le garanzie nelle comunicazioni. Le nuove previsioni conferiscono alle persone addette ai servizi di notificazione a mezzo posta, compresi quindi gli addetti delle poste private, la qualifica di “pubblici ufficiali a tutti gli effetti". </w:t>
      </w: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i/>
          <w:sz w:val="22"/>
          <w:szCs w:val="22"/>
        </w:rPr>
        <w:t>Indicazioni da inserire nell’avviso</w:t>
      </w: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xml:space="preserve">Sono state modificate le indicazioni da inserire sull'avviso di ricevimento e sul piego per le notificazioni effettuate in corso di procedimento. Difatti, viene prescritto che debbano essere indicati come mittenti, con indicazione dei relativi indirizzi (compreso l'indirizzo Pec ove il mittente sia obbligato per del 12/1/2018 - a cura di Vincenzo D’Andò 6 legge a dotarsene), la parte istante o il suo procuratore o l'ufficio giudiziario, a seconda di chi abbia fatto richiesta della notifica all'ufficiale giudiziario. </w:t>
      </w: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i/>
          <w:sz w:val="22"/>
          <w:szCs w:val="22"/>
        </w:rPr>
        <w:t>Consegna del plico</w:t>
      </w: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xml:space="preserve">L'operatore postale è tenuto a consegnare il plico nelle mani proprie del destinatario, anche se dichiarato fallito; nel caso, tuttavia, in cui la consegna non può essere eseguita personalmente, il piego viene consegnato, nel luogo indicato sulla busta che contiene l'atto da notificare, a persona di famiglia che conviva anche temporaneamente con lui ovvero addetta alla casa ovvero al servizio del destinatario, sempre che il consegnatario non sia persona manifestamente affetta da malattia mentale o abbia età inferiore a quattordici anni. Se non ci sono queste persone, il piego può essere consegnato al portiere dello stabile ovvero a persona che, vincolata da rapporto di lavoro continuativo, è comunque tenuta alla distribuzione della posta al destinatario. In tutti questi casi, l’avviso di ricevimento e di documenti attestanti la consegna devono essere sottoscritti dalla persona a cui il piego è consegnato e, quando la consegna sia effettuata a persona diversa dal destinatario, la firma deve essere seguita, su entrambi i citati documenti, dalla specificazione della qualità rivestita, con l'aggiunta, se trattasi di familiare, dell'indicazione di convivente anche se temporaneo. </w:t>
      </w: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i/>
          <w:sz w:val="22"/>
          <w:szCs w:val="22"/>
        </w:rPr>
        <w:t>Rifiuto del piego o di firma</w:t>
      </w: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xml:space="preserve">In caso di rifiuto del piego o di firmare l'avviso di ricevimento pur ricevendo il piego, l'operatore postale ne deve fare menzione sull'avviso di ricevimento a cui viene apposta la data e la propria firma, avviso che è subito restituito al mittente in raccomandazione, unitamente al piego nel caso di rifiuto del destinatario di riceverlo. Se le persone abilitate a ricevere il piego al posto del destinatario rifiutano di riceverlo, ovvero se l'operatore postale non può recapitarlo per temporanea assenza del destinatario o per mancanza, inidoneità o assenza di altre persone a cui consegnare, il piego viene depositato lo stesso giorno presso il punto di deposito più vicino al destinatario. </w:t>
      </w: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rPr>
      </w:pP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i/>
          <w:sz w:val="22"/>
          <w:szCs w:val="22"/>
        </w:rPr>
      </w:pPr>
      <w:r w:rsidRPr="0084312D">
        <w:rPr>
          <w:rFonts w:ascii="Bookman Old Style" w:hAnsi="Bookman Old Style" w:cs="Helvetica"/>
          <w:i/>
          <w:sz w:val="22"/>
          <w:szCs w:val="22"/>
        </w:rPr>
        <w:t>Avviso e perfezionamento della notifica</w:t>
      </w: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 xml:space="preserve">Del tentativo di notifica viene data notizia al destinatario, a cura dell'operatore postale, mediante avviso in busta chiusa a mezzo lettera raccomandata con avviso di ricevimento che, in caso di assenza del destinatario, deve essere affisso alla porta d'ingresso oppure immesso nella cassetta della corrispondenza dell'abitazione, dell'ufficio o dell'azienda. L’avviso, tra le altre indicazioni, deve contenere l’avvertimento che la notificazione si ha comunque per eseguita trascorsi dieci giorni dalla data di spedizione della lettera raccomandata medesima e che, decorso inutilmente anche il predetto termine di sei mesi, l'atto sarà restituito al mittente. </w:t>
      </w:r>
    </w:p>
    <w:p w:rsidR="006649DC" w:rsidRPr="0084312D" w:rsidRDefault="006649DC" w:rsidP="00AD2123">
      <w:pPr>
        <w:pStyle w:val="western"/>
        <w:shd w:val="clear" w:color="auto" w:fill="FFFFFF"/>
        <w:spacing w:before="0" w:beforeAutospacing="0" w:after="0" w:afterAutospacing="0"/>
        <w:jc w:val="both"/>
        <w:rPr>
          <w:rFonts w:ascii="Bookman Old Style" w:hAnsi="Bookman Old Style" w:cs="Helvetica"/>
          <w:sz w:val="22"/>
          <w:szCs w:val="22"/>
        </w:rPr>
      </w:pPr>
      <w:r w:rsidRPr="0084312D">
        <w:rPr>
          <w:rFonts w:ascii="Bookman Old Style" w:hAnsi="Bookman Old Style" w:cs="Helvetica"/>
          <w:sz w:val="22"/>
          <w:szCs w:val="22"/>
        </w:rPr>
        <w:t>(Corte di cassazione ordinanza n. 234 del 8 gennaio 2018)</w:t>
      </w: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203D3D">
      <w:pPr>
        <w:shd w:val="clear" w:color="auto" w:fill="FFFFFF"/>
        <w:ind w:right="181"/>
        <w:jc w:val="both"/>
        <w:rPr>
          <w:rFonts w:ascii="Bookman Old Style" w:hAnsi="Bookman Old Style" w:cs="Verdana"/>
          <w:color w:val="000000"/>
          <w:sz w:val="22"/>
          <w:szCs w:val="22"/>
        </w:rPr>
      </w:pPr>
    </w:p>
    <w:p w:rsidR="006649DC" w:rsidRPr="002955FD" w:rsidRDefault="006649DC" w:rsidP="00203D3D">
      <w:pPr>
        <w:shd w:val="clear" w:color="auto" w:fill="FFFFFF"/>
        <w:ind w:right="181"/>
        <w:jc w:val="both"/>
        <w:rPr>
          <w:rFonts w:ascii="Bookman Old Style" w:hAnsi="Bookman Old Style" w:cs="Verdana"/>
          <w:color w:val="000000"/>
          <w:sz w:val="22"/>
          <w:szCs w:val="22"/>
        </w:rPr>
      </w:pPr>
    </w:p>
    <w:p w:rsidR="006649DC" w:rsidRDefault="006649DC" w:rsidP="00377AB6">
      <w:pPr>
        <w:pStyle w:val="Heading1"/>
        <w:pBdr>
          <w:top w:val="single" w:sz="4" w:space="1" w:color="auto"/>
          <w:left w:val="single" w:sz="4" w:space="4" w:color="auto"/>
          <w:bottom w:val="single" w:sz="4" w:space="1" w:color="auto"/>
          <w:right w:val="single" w:sz="4" w:space="4" w:color="auto"/>
        </w:pBdr>
        <w:spacing w:before="120" w:after="120"/>
        <w:jc w:val="center"/>
        <w:rPr>
          <w:rFonts w:ascii="Bookman Old Style" w:hAnsi="Bookman Old Style"/>
          <w:color w:val="FF0000"/>
          <w:sz w:val="28"/>
          <w:szCs w:val="28"/>
        </w:rPr>
      </w:pPr>
      <w:bookmarkStart w:id="171" w:name="_Toc448485288"/>
      <w:bookmarkStart w:id="172" w:name="_Toc448485412"/>
      <w:bookmarkStart w:id="173" w:name="_Toc448485551"/>
      <w:bookmarkStart w:id="174" w:name="_Toc448485679"/>
      <w:bookmarkStart w:id="175" w:name="_Toc448485803"/>
      <w:bookmarkStart w:id="176" w:name="_Toc448485906"/>
      <w:bookmarkStart w:id="177" w:name="_Toc448494609"/>
      <w:bookmarkStart w:id="178" w:name="_Toc506559968"/>
      <w:r w:rsidRPr="00D64D29">
        <w:rPr>
          <w:rFonts w:ascii="Bookman Old Style" w:hAnsi="Bookman Old Style"/>
          <w:color w:val="FF0000"/>
          <w:sz w:val="28"/>
          <w:szCs w:val="28"/>
        </w:rPr>
        <w:t>APPROFONDIMENTI</w:t>
      </w:r>
      <w:bookmarkEnd w:id="171"/>
      <w:bookmarkEnd w:id="172"/>
      <w:bookmarkEnd w:id="173"/>
      <w:bookmarkEnd w:id="174"/>
      <w:bookmarkEnd w:id="175"/>
      <w:bookmarkEnd w:id="176"/>
      <w:bookmarkEnd w:id="177"/>
      <w:bookmarkEnd w:id="178"/>
    </w:p>
    <w:p w:rsidR="006649DC" w:rsidRPr="00377AB6" w:rsidRDefault="006649DC" w:rsidP="00377AB6"/>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Pr="002955FD" w:rsidRDefault="006649DC" w:rsidP="002955FD">
      <w:pPr>
        <w:jc w:val="both"/>
        <w:rPr>
          <w:rFonts w:ascii="Bookman Old Style" w:hAnsi="Bookman Old Style"/>
          <w:sz w:val="22"/>
          <w:szCs w:val="22"/>
        </w:rPr>
      </w:pPr>
    </w:p>
    <w:p w:rsidR="006649DC" w:rsidRDefault="006649DC" w:rsidP="00055BCF">
      <w:pPr>
        <w:pBdr>
          <w:top w:val="single" w:sz="4" w:space="1" w:color="auto"/>
          <w:left w:val="single" w:sz="4" w:space="5" w:color="auto"/>
          <w:bottom w:val="single" w:sz="4" w:space="1" w:color="auto"/>
          <w:right w:val="single" w:sz="4" w:space="4" w:color="auto"/>
        </w:pBdr>
        <w:jc w:val="both"/>
        <w:rPr>
          <w:rFonts w:ascii="Bookman Old Style" w:hAnsi="Bookman Old Style"/>
          <w:b/>
          <w:bCs/>
          <w:caps/>
          <w:color w:val="0707FF"/>
          <w:sz w:val="22"/>
          <w:szCs w:val="22"/>
        </w:rPr>
      </w:pPr>
      <w:r>
        <w:rPr>
          <w:rFonts w:ascii="Bookman Old Style" w:hAnsi="Bookman Old Style"/>
          <w:sz w:val="22"/>
          <w:szCs w:val="22"/>
        </w:rPr>
        <w:t>Di seguito si approfondiscono alcune recenti novità relative alla legge di bilancio 2018 come l’iva e per le imposte dirette gli interventi relative alle imprese, i Capital Gains e dividendi e le detrazioni sui privati.</w:t>
      </w:r>
    </w:p>
    <w:p w:rsidR="006649DC" w:rsidRDefault="006649DC" w:rsidP="00347EDC">
      <w:pPr>
        <w:rPr>
          <w:rFonts w:ascii="Bookman Old Style" w:hAnsi="Bookman Old Style"/>
          <w:b/>
          <w:bCs/>
          <w:caps/>
          <w:color w:val="0707FF"/>
          <w:sz w:val="22"/>
          <w:szCs w:val="22"/>
        </w:rPr>
      </w:pPr>
    </w:p>
    <w:p w:rsidR="006649DC" w:rsidRDefault="006649DC" w:rsidP="00347EDC"/>
    <w:p w:rsidR="006649DC" w:rsidRDefault="006649DC" w:rsidP="00347EDC"/>
    <w:p w:rsidR="006649DC" w:rsidRDefault="006649DC" w:rsidP="00347EDC"/>
    <w:p w:rsidR="006649DC" w:rsidRDefault="006649DC" w:rsidP="00347EDC"/>
    <w:p w:rsidR="006649DC" w:rsidRDefault="006649DC" w:rsidP="00347EDC"/>
    <w:p w:rsidR="006649DC" w:rsidRDefault="006649DC" w:rsidP="00347EDC"/>
    <w:p w:rsidR="006649DC" w:rsidRDefault="006649DC" w:rsidP="00347EDC"/>
    <w:p w:rsidR="006649DC" w:rsidRDefault="006649DC" w:rsidP="00347EDC"/>
    <w:p w:rsidR="006649DC" w:rsidRDefault="006649DC" w:rsidP="00347EDC"/>
    <w:p w:rsidR="006649DC" w:rsidRDefault="006649DC" w:rsidP="00347EDC"/>
    <w:p w:rsidR="006649DC" w:rsidRDefault="006649DC" w:rsidP="00347EDC"/>
    <w:p w:rsidR="006649DC" w:rsidRDefault="006649DC" w:rsidP="00347EDC"/>
    <w:p w:rsidR="006649DC" w:rsidRDefault="006649DC" w:rsidP="00347EDC"/>
    <w:p w:rsidR="006649DC" w:rsidRDefault="006649DC" w:rsidP="00347EDC"/>
    <w:p w:rsidR="006649DC" w:rsidRDefault="006649DC" w:rsidP="00347EDC"/>
    <w:p w:rsidR="006649DC" w:rsidRDefault="006649DC" w:rsidP="00347EDC"/>
    <w:p w:rsidR="006649DC" w:rsidRDefault="006649DC" w:rsidP="00347EDC"/>
    <w:p w:rsidR="006649DC" w:rsidRDefault="006649DC" w:rsidP="00347EDC"/>
    <w:p w:rsidR="006649DC" w:rsidRDefault="006649DC" w:rsidP="005C2552">
      <w:pPr>
        <w:shd w:val="clear" w:color="auto" w:fill="FFFFFF"/>
        <w:jc w:val="both"/>
        <w:rPr>
          <w:rFonts w:ascii="Bookman Old Style" w:hAnsi="Bookman Old Style"/>
          <w:sz w:val="22"/>
          <w:szCs w:val="22"/>
          <w:u w:val="single"/>
        </w:rPr>
      </w:pPr>
    </w:p>
    <w:p w:rsidR="006649DC" w:rsidRDefault="006649DC" w:rsidP="005C2552">
      <w:pPr>
        <w:shd w:val="clear" w:color="auto" w:fill="FFFFFF"/>
        <w:jc w:val="both"/>
        <w:rPr>
          <w:rFonts w:ascii="Bookman Old Style" w:hAnsi="Bookman Old Style"/>
          <w:sz w:val="22"/>
          <w:szCs w:val="22"/>
          <w:u w:val="single"/>
        </w:rPr>
      </w:pPr>
    </w:p>
    <w:p w:rsidR="006649DC" w:rsidRDefault="006649DC" w:rsidP="005C2552">
      <w:pPr>
        <w:shd w:val="clear" w:color="auto" w:fill="FFFFFF"/>
        <w:jc w:val="both"/>
        <w:rPr>
          <w:rFonts w:ascii="Bookman Old Style" w:hAnsi="Bookman Old Style"/>
          <w:sz w:val="22"/>
          <w:szCs w:val="22"/>
          <w:u w:val="single"/>
        </w:rPr>
      </w:pPr>
    </w:p>
    <w:p w:rsidR="006649DC" w:rsidRDefault="006649DC" w:rsidP="005C2552">
      <w:pPr>
        <w:shd w:val="clear" w:color="auto" w:fill="FFFFFF"/>
        <w:jc w:val="both"/>
        <w:rPr>
          <w:rFonts w:ascii="Bookman Old Style" w:hAnsi="Bookman Old Style"/>
          <w:sz w:val="22"/>
          <w:szCs w:val="22"/>
          <w:u w:val="single"/>
        </w:rPr>
      </w:pPr>
    </w:p>
    <w:p w:rsidR="006649DC" w:rsidRDefault="006649DC" w:rsidP="005C2552">
      <w:pPr>
        <w:shd w:val="clear" w:color="auto" w:fill="FFFFFF"/>
        <w:jc w:val="both"/>
        <w:rPr>
          <w:rFonts w:ascii="Bookman Old Style" w:hAnsi="Bookman Old Style"/>
          <w:sz w:val="22"/>
          <w:szCs w:val="22"/>
          <w:u w:val="single"/>
        </w:rPr>
      </w:pPr>
    </w:p>
    <w:p w:rsidR="006649DC" w:rsidRPr="00953D99" w:rsidRDefault="006649DC" w:rsidP="00953D99">
      <w:pPr>
        <w:pStyle w:val="Heading1"/>
        <w:rPr>
          <w:rFonts w:ascii="Bookman Old Style" w:hAnsi="Bookman Old Style"/>
        </w:rPr>
      </w:pPr>
    </w:p>
    <w:p w:rsidR="006649DC" w:rsidRPr="00DA5773" w:rsidRDefault="006649DC" w:rsidP="00DA5773">
      <w:pPr>
        <w:pStyle w:val="western"/>
        <w:shd w:val="clear" w:color="auto" w:fill="FFFFFF"/>
        <w:spacing w:before="0" w:beforeAutospacing="0" w:after="0" w:afterAutospacing="0"/>
        <w:jc w:val="both"/>
        <w:rPr>
          <w:rFonts w:ascii="Bookman Old Style" w:hAnsi="Bookman Old Style"/>
          <w:sz w:val="22"/>
          <w:szCs w:val="22"/>
        </w:rPr>
      </w:pPr>
    </w:p>
    <w:p w:rsidR="006649DC" w:rsidRPr="00DA5773" w:rsidRDefault="006649DC" w:rsidP="00DA5773">
      <w:pPr>
        <w:pStyle w:val="western"/>
        <w:shd w:val="clear" w:color="auto" w:fill="FFFFFF"/>
        <w:spacing w:before="0" w:beforeAutospacing="0" w:after="0" w:afterAutospacing="0"/>
        <w:jc w:val="both"/>
        <w:rPr>
          <w:rFonts w:ascii="Bookman Old Style" w:hAnsi="Bookman Old Style"/>
          <w:sz w:val="22"/>
          <w:szCs w:val="22"/>
        </w:rPr>
      </w:pPr>
    </w:p>
    <w:p w:rsidR="006649DC" w:rsidRPr="00DA5773" w:rsidRDefault="006649DC" w:rsidP="00DA5773">
      <w:pPr>
        <w:pStyle w:val="western"/>
        <w:shd w:val="clear" w:color="auto" w:fill="FFFFFF"/>
        <w:spacing w:before="0" w:beforeAutospacing="0" w:after="0" w:afterAutospacing="0"/>
        <w:jc w:val="both"/>
        <w:rPr>
          <w:rFonts w:ascii="Bookman Old Style" w:hAnsi="Bookman Old Style"/>
          <w:sz w:val="22"/>
          <w:szCs w:val="22"/>
        </w:rPr>
      </w:pPr>
    </w:p>
    <w:p w:rsidR="006649DC" w:rsidRPr="003C2133" w:rsidRDefault="006649DC" w:rsidP="003C2133">
      <w:pPr>
        <w:pStyle w:val="Heading1"/>
        <w:rPr>
          <w:rFonts w:ascii="Bookman Old Style" w:hAnsi="Bookman Old Style"/>
          <w:b w:val="0"/>
          <w:u w:val="single"/>
          <w:lang w:eastAsia="en-US"/>
        </w:rPr>
      </w:pPr>
      <w:bookmarkStart w:id="179" w:name="_Toc506559969"/>
      <w:r w:rsidRPr="003C2133">
        <w:rPr>
          <w:rFonts w:ascii="Bookman Old Style" w:hAnsi="Bookman Old Style"/>
          <w:b w:val="0"/>
          <w:u w:val="single"/>
          <w:lang w:eastAsia="en-US"/>
        </w:rPr>
        <w:t>Legge di bilancio 2018</w:t>
      </w:r>
      <w:bookmarkEnd w:id="179"/>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La Legge di bilancio 2018 (L. 27.12.2017, n. 205, pubblicata sul S.O. n. 62/L alla G.U. 29.12.2017, n. 302) consta di un unico articolo e di 1181 commi.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Tra le novità – e conferme – applicabili dall’ 1.1.2018 si rinvengono anche quelle relative alle detrazioni riguardanti gli immobili (detrazione per il risparmio energetico, riqualificazione edilizia, ecc.).</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Nell’ambito della legge in esame non sono state riproposte, però, le seguenti agevolazioni: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detrazione IRPEF dell’IVA pagata sull’acquisto di immobili aventi classe energetica A / B;</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detrazione IRPEF del 20% riferita all’acquisto di unità immobiliari di nuova costruzione da locare.</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3C2133" w:rsidRDefault="006649DC" w:rsidP="003C2133">
      <w:pPr>
        <w:autoSpaceDE w:val="0"/>
        <w:autoSpaceDN w:val="0"/>
        <w:adjustRightInd w:val="0"/>
        <w:jc w:val="both"/>
        <w:rPr>
          <w:rFonts w:ascii="Bookman Old Style" w:hAnsi="Bookman Old Style" w:cs="Arial"/>
          <w:bCs/>
          <w:i/>
          <w:sz w:val="22"/>
          <w:szCs w:val="22"/>
          <w:lang w:eastAsia="en-US"/>
        </w:rPr>
      </w:pPr>
      <w:r w:rsidRPr="003C2133">
        <w:rPr>
          <w:rFonts w:ascii="Bookman Old Style" w:hAnsi="Bookman Old Style" w:cs="Arial"/>
          <w:bCs/>
          <w:i/>
          <w:sz w:val="22"/>
          <w:szCs w:val="22"/>
          <w:lang w:eastAsia="en-US"/>
        </w:rPr>
        <w:t>Interventi di riqualificazione energetica</w:t>
      </w:r>
    </w:p>
    <w:p w:rsidR="006649DC" w:rsidRPr="003C2133" w:rsidRDefault="006649DC" w:rsidP="003C2133">
      <w:pPr>
        <w:autoSpaceDE w:val="0"/>
        <w:autoSpaceDN w:val="0"/>
        <w:adjustRightInd w:val="0"/>
        <w:jc w:val="both"/>
        <w:rPr>
          <w:rFonts w:ascii="Bookman Old Style" w:hAnsi="Bookman Old Style" w:cs="Arial"/>
          <w:i/>
          <w:sz w:val="22"/>
          <w:szCs w:val="22"/>
          <w:lang w:eastAsia="en-US"/>
        </w:rPr>
      </w:pPr>
      <w:r w:rsidRPr="003C2133">
        <w:rPr>
          <w:rFonts w:ascii="Bookman Old Style" w:hAnsi="Bookman Old Style" w:cs="Arial"/>
          <w:i/>
          <w:sz w:val="22"/>
          <w:szCs w:val="22"/>
          <w:lang w:eastAsia="en-US"/>
        </w:rPr>
        <w:t>Conferme e novità</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Il co. 3, lett. a), L. 27.12.2017, n. 205 modifica l’art. 14, D.L. 63/2013 al fine di: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eastAsia="SymbolOOEnc" w:hAnsi="Bookman Old Style" w:cs="SymbolOOEnc"/>
          <w:sz w:val="22"/>
          <w:szCs w:val="22"/>
          <w:lang w:eastAsia="en-US"/>
        </w:rPr>
        <w:t xml:space="preserve">1) </w:t>
      </w:r>
      <w:r w:rsidRPr="003C2133">
        <w:rPr>
          <w:rFonts w:ascii="Bookman Old Style" w:hAnsi="Bookman Old Style" w:cs="Arial"/>
          <w:sz w:val="22"/>
          <w:szCs w:val="22"/>
          <w:lang w:eastAsia="en-US"/>
        </w:rPr>
        <w:t xml:space="preserve">prorogare, salvo le eccezioni di cui al successivo punto 2), la detrazione per gli </w:t>
      </w:r>
      <w:r w:rsidRPr="003C2133">
        <w:rPr>
          <w:rFonts w:ascii="Bookman Old Style" w:hAnsi="Bookman Old Style" w:cs="Arial"/>
          <w:bCs/>
          <w:sz w:val="22"/>
          <w:szCs w:val="22"/>
          <w:lang w:eastAsia="en-US"/>
        </w:rPr>
        <w:t xml:space="preserve">interventi di riqualificazione energetica </w:t>
      </w:r>
      <w:r w:rsidRPr="003C2133">
        <w:rPr>
          <w:rFonts w:ascii="Bookman Old Style" w:hAnsi="Bookman Old Style" w:cs="Arial"/>
          <w:sz w:val="22"/>
          <w:szCs w:val="22"/>
          <w:lang w:eastAsia="en-US"/>
        </w:rPr>
        <w:t xml:space="preserve">nella misura del </w:t>
      </w:r>
      <w:r w:rsidRPr="003C2133">
        <w:rPr>
          <w:rFonts w:ascii="Bookman Old Style" w:hAnsi="Bookman Old Style" w:cs="Arial"/>
          <w:bCs/>
          <w:sz w:val="22"/>
          <w:szCs w:val="22"/>
          <w:lang w:eastAsia="en-US"/>
        </w:rPr>
        <w:t xml:space="preserve">65% per le spese sostenute fino al 31.12.2018 </w:t>
      </w:r>
      <w:r w:rsidRPr="003C2133">
        <w:rPr>
          <w:rFonts w:ascii="Bookman Old Style" w:hAnsi="Bookman Old Style" w:cs="Arial"/>
          <w:sz w:val="22"/>
          <w:szCs w:val="22"/>
          <w:lang w:eastAsia="en-US"/>
        </w:rPr>
        <w:t xml:space="preserve">(il precedente termine era fissato al 31.12.2017). </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Si conferma la detrazione nella misura del 65% per:</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 la </w:t>
      </w:r>
      <w:r w:rsidRPr="003C2133">
        <w:rPr>
          <w:rFonts w:ascii="Bookman Old Style" w:hAnsi="Bookman Old Style" w:cs="Arial"/>
          <w:bCs/>
          <w:sz w:val="22"/>
          <w:szCs w:val="22"/>
          <w:lang w:eastAsia="en-US"/>
        </w:rPr>
        <w:t>sostituzione dell’impianto di climatizzazione invernale con impianti dotati di apparecchi ibridi</w:t>
      </w:r>
      <w:r w:rsidRPr="003C2133">
        <w:rPr>
          <w:rFonts w:ascii="Bookman Old Style" w:hAnsi="Bookman Old Style" w:cs="Arial"/>
          <w:sz w:val="22"/>
          <w:szCs w:val="22"/>
          <w:lang w:eastAsia="en-US"/>
        </w:rPr>
        <w:t>, costituiti da pompa di calore integrata con caldaia a condensazione, assemblati in fabbrica ed espressamente concepiti dal fabbricante per funzionare in abbinamento tra loro;</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eastAsia="SymbolOOEnc" w:hAnsi="Bookman Old Style" w:cs="SymbolOOEnc"/>
          <w:sz w:val="22"/>
          <w:szCs w:val="22"/>
          <w:lang w:eastAsia="en-US"/>
        </w:rPr>
        <w:t>- l’</w:t>
      </w:r>
      <w:r w:rsidRPr="003C2133">
        <w:rPr>
          <w:rFonts w:ascii="Bookman Old Style" w:hAnsi="Bookman Old Style" w:cs="Arial"/>
          <w:sz w:val="22"/>
          <w:szCs w:val="22"/>
          <w:lang w:eastAsia="en-US"/>
        </w:rPr>
        <w:t xml:space="preserve">acquisto e la posa in opera di </w:t>
      </w:r>
      <w:r w:rsidRPr="003C2133">
        <w:rPr>
          <w:rFonts w:ascii="Bookman Old Style" w:hAnsi="Bookman Old Style" w:cs="Arial"/>
          <w:bCs/>
          <w:sz w:val="22"/>
          <w:szCs w:val="22"/>
          <w:lang w:eastAsia="en-US"/>
        </w:rPr>
        <w:t>generatori d’aria calda a condensazione</w:t>
      </w:r>
      <w:r w:rsidRPr="003C2133">
        <w:rPr>
          <w:rFonts w:ascii="Bookman Old Style" w:hAnsi="Bookman Old Style" w:cs="Arial"/>
          <w:sz w:val="22"/>
          <w:szCs w:val="22"/>
          <w:lang w:eastAsia="en-US"/>
        </w:rPr>
        <w:t>.</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bCs/>
          <w:sz w:val="22"/>
          <w:szCs w:val="22"/>
          <w:lang w:eastAsia="en-US"/>
        </w:rPr>
        <w:t>Sono agevolabili anche (si tratta di una novità) le spese</w:t>
      </w:r>
      <w:r w:rsidRPr="003C2133">
        <w:rPr>
          <w:rFonts w:ascii="Bookman Old Style" w:hAnsi="Bookman Old Style" w:cs="Arial"/>
          <w:sz w:val="22"/>
          <w:szCs w:val="22"/>
          <w:lang w:eastAsia="en-US"/>
        </w:rPr>
        <w:t>, sostenute dall’1.1 al 31.12.2018 per un ammontare massimo di detrazione di 100.000 euro, per l’</w:t>
      </w:r>
      <w:r w:rsidRPr="003C2133">
        <w:rPr>
          <w:rFonts w:ascii="Bookman Old Style" w:hAnsi="Bookman Old Style" w:cs="Arial"/>
          <w:bCs/>
          <w:sz w:val="22"/>
          <w:szCs w:val="22"/>
          <w:lang w:eastAsia="en-US"/>
        </w:rPr>
        <w:t>acquisto e la posa in opera di micro-cogeneratori in sostituzione di impianti esistenti</w:t>
      </w:r>
      <w:r w:rsidRPr="003C2133">
        <w:rPr>
          <w:rFonts w:ascii="Bookman Old Style" w:hAnsi="Bookman Old Style" w:cs="Arial"/>
          <w:sz w:val="22"/>
          <w:szCs w:val="22"/>
          <w:lang w:eastAsia="en-US"/>
        </w:rPr>
        <w:t>. Occorre, per beneficiare della detrazione, che gli interventi conducano ad un risparmio di energia primaria (PES), come definito dal DM 4.8.2011, pari almeno al 20%.</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La proroga </w:t>
      </w:r>
      <w:r w:rsidRPr="003C2133">
        <w:rPr>
          <w:rFonts w:ascii="Bookman Old Style" w:hAnsi="Bookman Old Style" w:cs="Arial"/>
          <w:bCs/>
          <w:sz w:val="22"/>
          <w:szCs w:val="22"/>
          <w:lang w:eastAsia="en-US"/>
        </w:rPr>
        <w:t xml:space="preserve">non riguarda </w:t>
      </w:r>
      <w:r w:rsidRPr="003C2133">
        <w:rPr>
          <w:rFonts w:ascii="Bookman Old Style" w:hAnsi="Bookman Old Style" w:cs="Arial"/>
          <w:sz w:val="22"/>
          <w:szCs w:val="22"/>
          <w:lang w:eastAsia="en-US"/>
        </w:rPr>
        <w:t xml:space="preserve">gli interventi di riqualificazione energetica </w:t>
      </w:r>
      <w:r w:rsidRPr="003C2133">
        <w:rPr>
          <w:rFonts w:ascii="Bookman Old Style" w:hAnsi="Bookman Old Style" w:cs="Arial"/>
          <w:bCs/>
          <w:sz w:val="22"/>
          <w:szCs w:val="22"/>
          <w:lang w:eastAsia="en-US"/>
        </w:rPr>
        <w:t xml:space="preserve">su parti comuni degli edifici condominiali </w:t>
      </w:r>
      <w:r w:rsidRPr="003C2133">
        <w:rPr>
          <w:rFonts w:ascii="Bookman Old Style" w:hAnsi="Bookman Old Style" w:cs="Arial"/>
          <w:sz w:val="22"/>
          <w:szCs w:val="22"/>
          <w:lang w:eastAsia="en-US"/>
        </w:rPr>
        <w:t>per i quali la detrazione:</w:t>
      </w:r>
    </w:p>
    <w:p w:rsidR="006649DC" w:rsidRPr="003C2133" w:rsidRDefault="006649DC" w:rsidP="003C2133">
      <w:pPr>
        <w:autoSpaceDE w:val="0"/>
        <w:autoSpaceDN w:val="0"/>
        <w:adjustRightInd w:val="0"/>
        <w:jc w:val="both"/>
        <w:rPr>
          <w:rFonts w:ascii="Bookman Old Style" w:hAnsi="Bookman Old Style" w:cs="Arial"/>
          <w:bCs/>
          <w:sz w:val="22"/>
          <w:szCs w:val="22"/>
          <w:lang w:eastAsia="en-US"/>
        </w:rPr>
      </w:pPr>
      <w:r w:rsidRPr="003C2133">
        <w:rPr>
          <w:rFonts w:ascii="Bookman Old Style" w:hAnsi="Bookman Old Style" w:cs="Arial"/>
          <w:sz w:val="22"/>
          <w:szCs w:val="22"/>
          <w:lang w:eastAsia="en-US"/>
        </w:rPr>
        <w:t xml:space="preserve">- è già prevista per le spese sostenute </w:t>
      </w:r>
      <w:r w:rsidRPr="003C2133">
        <w:rPr>
          <w:rFonts w:ascii="Bookman Old Style" w:hAnsi="Bookman Old Style" w:cs="Arial"/>
          <w:bCs/>
          <w:sz w:val="22"/>
          <w:szCs w:val="22"/>
          <w:lang w:eastAsia="en-US"/>
        </w:rPr>
        <w:t>fino al 2021;</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bCs/>
          <w:sz w:val="22"/>
          <w:szCs w:val="22"/>
          <w:lang w:eastAsia="en-US"/>
        </w:rPr>
        <w:t>- spetta nella misura del 65% ovvero, se sono rispettati certi presupposti,</w:t>
      </w:r>
      <w:r w:rsidRPr="003C2133">
        <w:rPr>
          <w:rFonts w:ascii="Bookman Old Style" w:hAnsi="Bookman Old Style" w:cs="Arial"/>
          <w:sz w:val="22"/>
          <w:szCs w:val="22"/>
          <w:lang w:eastAsia="en-US"/>
        </w:rPr>
        <w:t xml:space="preserve"> nella maggior misura del 70% / 75%;</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2) ridurre al </w:t>
      </w:r>
      <w:r w:rsidRPr="003C2133">
        <w:rPr>
          <w:rFonts w:ascii="Bookman Old Style" w:hAnsi="Bookman Old Style" w:cs="Arial"/>
          <w:bCs/>
          <w:sz w:val="22"/>
          <w:szCs w:val="22"/>
          <w:lang w:eastAsia="en-US"/>
        </w:rPr>
        <w:t xml:space="preserve">50% la detrazione </w:t>
      </w:r>
      <w:r w:rsidRPr="003C2133">
        <w:rPr>
          <w:rFonts w:ascii="Bookman Old Style" w:hAnsi="Bookman Old Style" w:cs="Arial"/>
          <w:sz w:val="22"/>
          <w:szCs w:val="22"/>
          <w:lang w:eastAsia="en-US"/>
        </w:rPr>
        <w:t xml:space="preserve">per le </w:t>
      </w:r>
      <w:r w:rsidRPr="003C2133">
        <w:rPr>
          <w:rFonts w:ascii="Bookman Old Style" w:hAnsi="Bookman Old Style" w:cs="Arial"/>
          <w:bCs/>
          <w:sz w:val="22"/>
          <w:szCs w:val="22"/>
          <w:lang w:eastAsia="en-US"/>
        </w:rPr>
        <w:t xml:space="preserve">spese sostenute dall’1.1.2018 </w:t>
      </w:r>
      <w:r w:rsidRPr="003C2133">
        <w:rPr>
          <w:rFonts w:ascii="Bookman Old Style" w:hAnsi="Bookman Old Style" w:cs="Arial"/>
          <w:sz w:val="22"/>
          <w:szCs w:val="22"/>
          <w:lang w:eastAsia="en-US"/>
        </w:rPr>
        <w:t>per gli interventi di: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eastAsia="SymbolOOEnc" w:hAnsi="Bookman Old Style" w:cs="SymbolOOEnc"/>
          <w:sz w:val="22"/>
          <w:szCs w:val="22"/>
          <w:lang w:eastAsia="en-US"/>
        </w:rPr>
        <w:t xml:space="preserve">- </w:t>
      </w:r>
      <w:r w:rsidRPr="003C2133">
        <w:rPr>
          <w:rFonts w:ascii="Bookman Old Style" w:hAnsi="Bookman Old Style" w:cs="Arial"/>
          <w:sz w:val="22"/>
          <w:szCs w:val="22"/>
          <w:lang w:eastAsia="en-US"/>
        </w:rPr>
        <w:t xml:space="preserve">acquisto e posa in opera di </w:t>
      </w:r>
      <w:r w:rsidRPr="003C2133">
        <w:rPr>
          <w:rFonts w:ascii="Bookman Old Style" w:hAnsi="Bookman Old Style" w:cs="Arial"/>
          <w:bCs/>
          <w:sz w:val="22"/>
          <w:szCs w:val="22"/>
          <w:lang w:eastAsia="en-US"/>
        </w:rPr>
        <w:t>finestre comprensive di infissi</w:t>
      </w:r>
      <w:r w:rsidRPr="003C2133">
        <w:rPr>
          <w:rFonts w:ascii="Bookman Old Style" w:hAnsi="Bookman Old Style" w:cs="Arial"/>
          <w:sz w:val="22"/>
          <w:szCs w:val="22"/>
          <w:lang w:eastAsia="en-US"/>
        </w:rPr>
        <w:t>;</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eastAsia="SymbolOOEnc" w:hAnsi="Bookman Old Style" w:cs="SymbolOOEnc"/>
          <w:sz w:val="22"/>
          <w:szCs w:val="22"/>
          <w:lang w:eastAsia="en-US"/>
        </w:rPr>
        <w:t xml:space="preserve">- </w:t>
      </w:r>
      <w:r w:rsidRPr="003C2133">
        <w:rPr>
          <w:rFonts w:ascii="Bookman Old Style" w:hAnsi="Bookman Old Style" w:cs="Arial"/>
          <w:sz w:val="22"/>
          <w:szCs w:val="22"/>
          <w:lang w:eastAsia="en-US"/>
        </w:rPr>
        <w:t xml:space="preserve">acquisto e posa in opera di </w:t>
      </w:r>
      <w:r w:rsidRPr="003C2133">
        <w:rPr>
          <w:rFonts w:ascii="Bookman Old Style" w:hAnsi="Bookman Old Style" w:cs="Arial"/>
          <w:bCs/>
          <w:sz w:val="22"/>
          <w:szCs w:val="22"/>
          <w:lang w:eastAsia="en-US"/>
        </w:rPr>
        <w:t>schermature solari</w:t>
      </w:r>
      <w:r w:rsidRPr="003C2133">
        <w:rPr>
          <w:rFonts w:ascii="Bookman Old Style" w:hAnsi="Bookman Old Style" w:cs="Arial"/>
          <w:sz w:val="22"/>
          <w:szCs w:val="22"/>
          <w:lang w:eastAsia="en-US"/>
        </w:rPr>
        <w:t>;</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eastAsia="SymbolOOEnc" w:hAnsi="Bookman Old Style" w:cs="SymbolOOEnc"/>
          <w:sz w:val="22"/>
          <w:szCs w:val="22"/>
          <w:lang w:eastAsia="en-US"/>
        </w:rPr>
        <w:t xml:space="preserve">- </w:t>
      </w:r>
      <w:r w:rsidRPr="003C2133">
        <w:rPr>
          <w:rFonts w:ascii="Bookman Old Style" w:hAnsi="Bookman Old Style" w:cs="Arial"/>
          <w:sz w:val="22"/>
          <w:szCs w:val="22"/>
          <w:lang w:eastAsia="en-US"/>
        </w:rPr>
        <w:t xml:space="preserve">acquisto e posa in opera di impianti di climatizzazione invernale con </w:t>
      </w:r>
      <w:r w:rsidRPr="003C2133">
        <w:rPr>
          <w:rFonts w:ascii="Bookman Old Style" w:hAnsi="Bookman Old Style" w:cs="Arial"/>
          <w:bCs/>
          <w:sz w:val="22"/>
          <w:szCs w:val="22"/>
          <w:lang w:eastAsia="en-US"/>
        </w:rPr>
        <w:t>generatori di calore alimentati da biomasse combustibili (</w:t>
      </w:r>
      <w:r w:rsidRPr="003C2133">
        <w:rPr>
          <w:rFonts w:ascii="Bookman Old Style" w:hAnsi="Bookman Old Style" w:cs="Arial"/>
          <w:sz w:val="22"/>
          <w:szCs w:val="22"/>
          <w:lang w:eastAsia="en-US"/>
        </w:rPr>
        <w:t>l’importo massimo della detrazione è pari a 30.000 euro);</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eastAsia="SymbolOOEnc" w:hAnsi="Bookman Old Style" w:cs="SymbolOOEnc"/>
          <w:sz w:val="22"/>
          <w:szCs w:val="22"/>
          <w:lang w:eastAsia="en-US"/>
        </w:rPr>
        <w:t xml:space="preserve">- </w:t>
      </w:r>
      <w:r w:rsidRPr="003C2133">
        <w:rPr>
          <w:rFonts w:ascii="Bookman Old Style" w:hAnsi="Bookman Old Style" w:cs="Arial"/>
          <w:sz w:val="22"/>
          <w:szCs w:val="22"/>
          <w:lang w:eastAsia="en-US"/>
        </w:rPr>
        <w:t xml:space="preserve">sostituzione di impianti di climatizzazione invernale con </w:t>
      </w:r>
      <w:r w:rsidRPr="003C2133">
        <w:rPr>
          <w:rFonts w:ascii="Bookman Old Style" w:hAnsi="Bookman Old Style" w:cs="Arial"/>
          <w:bCs/>
          <w:sz w:val="22"/>
          <w:szCs w:val="22"/>
          <w:lang w:eastAsia="en-US"/>
        </w:rPr>
        <w:t xml:space="preserve">impianti dotati di caldaie a condensazione con efficienza almeno pari alla classe A di prodotto </w:t>
      </w:r>
      <w:r w:rsidRPr="003C2133">
        <w:rPr>
          <w:rFonts w:ascii="Bookman Old Style" w:hAnsi="Bookman Old Style" w:cs="Arial"/>
          <w:sz w:val="22"/>
          <w:szCs w:val="22"/>
          <w:lang w:eastAsia="en-US"/>
        </w:rPr>
        <w:t xml:space="preserve">ai sensi del Reg. UE n. 811/2013. Per questi impianti: a) la detrazione è </w:t>
      </w:r>
      <w:r w:rsidRPr="003C2133">
        <w:rPr>
          <w:rFonts w:ascii="Bookman Old Style" w:hAnsi="Bookman Old Style" w:cs="Arial"/>
          <w:bCs/>
          <w:sz w:val="22"/>
          <w:szCs w:val="22"/>
          <w:lang w:eastAsia="en-US"/>
        </w:rPr>
        <w:t xml:space="preserve">esclusa </w:t>
      </w:r>
      <w:r w:rsidRPr="003C2133">
        <w:rPr>
          <w:rFonts w:ascii="Bookman Old Style" w:hAnsi="Bookman Old Style" w:cs="Arial"/>
          <w:sz w:val="22"/>
          <w:szCs w:val="22"/>
          <w:lang w:eastAsia="en-US"/>
        </w:rPr>
        <w:t xml:space="preserve">se l’efficienza risulta </w:t>
      </w:r>
      <w:r w:rsidRPr="003C2133">
        <w:rPr>
          <w:rFonts w:ascii="Bookman Old Style" w:hAnsi="Bookman Old Style" w:cs="Arial"/>
          <w:bCs/>
          <w:sz w:val="22"/>
          <w:szCs w:val="22"/>
          <w:lang w:eastAsia="en-US"/>
        </w:rPr>
        <w:t xml:space="preserve">inferiore </w:t>
      </w:r>
      <w:r w:rsidRPr="003C2133">
        <w:rPr>
          <w:rFonts w:ascii="Bookman Old Style" w:hAnsi="Bookman Old Style" w:cs="Arial"/>
          <w:sz w:val="22"/>
          <w:szCs w:val="22"/>
          <w:lang w:eastAsia="en-US"/>
        </w:rPr>
        <w:t xml:space="preserve">alla citata classe A di prodotto; b) la detrazione è riconosciuta nella misura del 65% se l’efficienza risulta almeno pari alla citata classe A di prodotto e </w:t>
      </w:r>
      <w:r w:rsidRPr="003C2133">
        <w:rPr>
          <w:rFonts w:ascii="Bookman Old Style" w:hAnsi="Bookman Old Style" w:cs="Arial"/>
          <w:bCs/>
          <w:sz w:val="22"/>
          <w:szCs w:val="22"/>
          <w:lang w:eastAsia="en-US"/>
        </w:rPr>
        <w:t xml:space="preserve">l’intervento prevede anche la contestuale installazione </w:t>
      </w:r>
      <w:r w:rsidRPr="003C2133">
        <w:rPr>
          <w:rFonts w:ascii="Bookman Old Style" w:hAnsi="Bookman Old Style" w:cs="Arial"/>
          <w:sz w:val="22"/>
          <w:szCs w:val="22"/>
          <w:lang w:eastAsia="en-US"/>
        </w:rPr>
        <w:t>di sistemi di termoregolazione evoluti di cui alle classi V, VI o VIII della Comunicazione della Commissione 2014/C 207/02.</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3) estendere l’ambito soggettivo della detrazione. In particolare, tramite una modifica al co. 2-septies dell’art. 14, D.L. 63/2013, la detrazione può essere fruita, oltre </w:t>
      </w:r>
      <w:r w:rsidRPr="003C2133">
        <w:rPr>
          <w:rFonts w:ascii="Bookman Old Style" w:hAnsi="Bookman Old Style" w:cs="Arial"/>
          <w:bCs/>
          <w:sz w:val="22"/>
          <w:szCs w:val="22"/>
          <w:lang w:eastAsia="en-US"/>
        </w:rPr>
        <w:t>che dagli Istituti autonomi per le case popolari (IACP)</w:t>
      </w:r>
      <w:r w:rsidRPr="003C2133">
        <w:rPr>
          <w:rFonts w:ascii="Bookman Old Style" w:hAnsi="Bookman Old Style" w:cs="Arial"/>
          <w:sz w:val="22"/>
          <w:szCs w:val="22"/>
          <w:lang w:eastAsia="en-US"/>
        </w:rPr>
        <w:t xml:space="preserve">, comunque denominati, </w:t>
      </w:r>
      <w:r w:rsidRPr="003C2133">
        <w:rPr>
          <w:rFonts w:ascii="Bookman Old Style" w:hAnsi="Bookman Old Style" w:cs="Arial"/>
          <w:bCs/>
          <w:sz w:val="22"/>
          <w:szCs w:val="22"/>
          <w:lang w:eastAsia="en-US"/>
        </w:rPr>
        <w:t>anche</w:t>
      </w:r>
      <w:r w:rsidRPr="003C2133">
        <w:rPr>
          <w:rFonts w:ascii="Bookman Old Style" w:hAnsi="Bookman Old Style" w:cs="Arial"/>
          <w:sz w:val="22"/>
          <w:szCs w:val="22"/>
          <w:lang w:eastAsia="en-US"/>
        </w:rPr>
        <w:t>:</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eastAsia="SymbolOOEnc" w:hAnsi="Bookman Old Style" w:cs="SymbolOOEnc"/>
          <w:sz w:val="22"/>
          <w:szCs w:val="22"/>
          <w:lang w:eastAsia="en-US"/>
        </w:rPr>
        <w:t xml:space="preserve">- </w:t>
      </w:r>
      <w:r w:rsidRPr="003C2133">
        <w:rPr>
          <w:rFonts w:ascii="Bookman Old Style" w:hAnsi="Bookman Old Style" w:cs="Arial"/>
          <w:sz w:val="22"/>
          <w:szCs w:val="22"/>
          <w:lang w:eastAsia="en-US"/>
        </w:rPr>
        <w:t xml:space="preserve">dagli </w:t>
      </w:r>
      <w:r w:rsidRPr="003C2133">
        <w:rPr>
          <w:rFonts w:ascii="Bookman Old Style" w:hAnsi="Bookman Old Style" w:cs="Arial"/>
          <w:bCs/>
          <w:sz w:val="22"/>
          <w:szCs w:val="22"/>
          <w:lang w:eastAsia="en-US"/>
        </w:rPr>
        <w:t xml:space="preserve">Enti aventi le stesse finalità sociali </w:t>
      </w:r>
      <w:r w:rsidRPr="003C2133">
        <w:rPr>
          <w:rFonts w:ascii="Bookman Old Style" w:hAnsi="Bookman Old Style" w:cs="Arial"/>
          <w:sz w:val="22"/>
          <w:szCs w:val="22"/>
          <w:lang w:eastAsia="en-US"/>
        </w:rPr>
        <w:t xml:space="preserve">di detti Istituti, istituiti nella forma di </w:t>
      </w:r>
      <w:r w:rsidRPr="003C2133">
        <w:rPr>
          <w:rFonts w:ascii="Bookman Old Style" w:hAnsi="Bookman Old Style" w:cs="Arial"/>
          <w:bCs/>
          <w:sz w:val="22"/>
          <w:szCs w:val="22"/>
          <w:lang w:eastAsia="en-US"/>
        </w:rPr>
        <w:t xml:space="preserve">società che rispondono ai requisiti europei in materia di </w:t>
      </w:r>
      <w:r w:rsidRPr="003C2133">
        <w:rPr>
          <w:rFonts w:ascii="Bookman Old Style" w:hAnsi="Bookman Old Style" w:cs="Arial"/>
          <w:i/>
          <w:iCs/>
          <w:sz w:val="22"/>
          <w:szCs w:val="22"/>
          <w:lang w:eastAsia="en-US"/>
        </w:rPr>
        <w:t>“</w:t>
      </w:r>
      <w:r w:rsidRPr="003C2133">
        <w:rPr>
          <w:rFonts w:ascii="Bookman Old Style" w:hAnsi="Bookman Old Style" w:cs="Arial"/>
          <w:bCs/>
          <w:i/>
          <w:iCs/>
          <w:sz w:val="22"/>
          <w:szCs w:val="22"/>
          <w:lang w:eastAsia="en-US"/>
        </w:rPr>
        <w:t>in house providing</w:t>
      </w:r>
      <w:r w:rsidRPr="003C2133">
        <w:rPr>
          <w:rFonts w:ascii="Bookman Old Style" w:hAnsi="Bookman Old Style" w:cs="Arial"/>
          <w:i/>
          <w:iCs/>
          <w:sz w:val="22"/>
          <w:szCs w:val="22"/>
          <w:lang w:eastAsia="en-US"/>
        </w:rPr>
        <w:t xml:space="preserve">” </w:t>
      </w:r>
      <w:r w:rsidRPr="003C2133">
        <w:rPr>
          <w:rFonts w:ascii="Bookman Old Style" w:hAnsi="Bookman Old Style" w:cs="Arial"/>
          <w:bCs/>
          <w:sz w:val="22"/>
          <w:szCs w:val="22"/>
          <w:lang w:eastAsia="en-US"/>
        </w:rPr>
        <w:t>costituiti ed operanti al 31.12.2013</w:t>
      </w:r>
      <w:r w:rsidRPr="003C2133">
        <w:rPr>
          <w:rFonts w:ascii="Bookman Old Style" w:hAnsi="Bookman Old Style" w:cs="Arial"/>
          <w:sz w:val="22"/>
          <w:szCs w:val="22"/>
          <w:lang w:eastAsia="en-US"/>
        </w:rPr>
        <w:t>. Detti soggetti possono fruire della detrazione se gli interventi agevolati sono effettuati su immobili di proprietà, ovvero gestiti per conto del Comune, adibiti ad edilizia residenziale pubblica;</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eastAsia="SymbolOOEnc" w:hAnsi="Bookman Old Style" w:cs="SymbolOOEnc"/>
          <w:sz w:val="22"/>
          <w:szCs w:val="22"/>
          <w:lang w:eastAsia="en-US"/>
        </w:rPr>
        <w:t xml:space="preserve">- </w:t>
      </w:r>
      <w:r w:rsidRPr="003C2133">
        <w:rPr>
          <w:rFonts w:ascii="Bookman Old Style" w:hAnsi="Bookman Old Style" w:cs="Arial"/>
          <w:sz w:val="22"/>
          <w:szCs w:val="22"/>
          <w:lang w:eastAsia="en-US"/>
        </w:rPr>
        <w:t xml:space="preserve">dalle </w:t>
      </w:r>
      <w:r w:rsidRPr="003C2133">
        <w:rPr>
          <w:rFonts w:ascii="Bookman Old Style" w:hAnsi="Bookman Old Style" w:cs="Arial"/>
          <w:bCs/>
          <w:sz w:val="22"/>
          <w:szCs w:val="22"/>
          <w:lang w:eastAsia="en-US"/>
        </w:rPr>
        <w:t xml:space="preserve">cooperative di abitazione a proprietà indivisa </w:t>
      </w:r>
      <w:r w:rsidRPr="003C2133">
        <w:rPr>
          <w:rFonts w:ascii="Bookman Old Style" w:hAnsi="Bookman Old Style" w:cs="Arial"/>
          <w:sz w:val="22"/>
          <w:szCs w:val="22"/>
          <w:lang w:eastAsia="en-US"/>
        </w:rPr>
        <w:t>per interventi realizzati su immobili dalle stesse posseduti e assegnati in godimento ai soci.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3C2133" w:rsidRDefault="006649DC" w:rsidP="003C2133">
      <w:pPr>
        <w:jc w:val="both"/>
        <w:rPr>
          <w:rFonts w:ascii="Bookman Old Style" w:hAnsi="Bookman Old Style" w:cs="Arial"/>
          <w:color w:val="000000"/>
          <w:sz w:val="22"/>
          <w:szCs w:val="22"/>
          <w:lang w:eastAsia="en-US"/>
        </w:rPr>
      </w:pPr>
      <w:r w:rsidRPr="003C2133">
        <w:rPr>
          <w:rFonts w:ascii="Bookman Old Style" w:hAnsi="Bookman Old Style" w:cs="Arial"/>
          <w:sz w:val="22"/>
          <w:szCs w:val="22"/>
          <w:lang w:eastAsia="en-US"/>
        </w:rPr>
        <w:t xml:space="preserve">4) introdurre il nuovo </w:t>
      </w:r>
      <w:r w:rsidRPr="003C2133">
        <w:rPr>
          <w:rFonts w:ascii="Bookman Old Style" w:hAnsi="Bookman Old Style" w:cs="Arial"/>
          <w:bCs/>
          <w:color w:val="000000"/>
          <w:sz w:val="22"/>
          <w:szCs w:val="22"/>
          <w:lang w:eastAsia="en-US"/>
        </w:rPr>
        <w:t xml:space="preserve">co. 2-quater.1 </w:t>
      </w:r>
      <w:r w:rsidRPr="003C2133">
        <w:rPr>
          <w:rFonts w:ascii="Bookman Old Style" w:hAnsi="Bookman Old Style" w:cs="Arial"/>
          <w:color w:val="000000"/>
          <w:sz w:val="22"/>
          <w:szCs w:val="22"/>
          <w:lang w:eastAsia="en-US"/>
        </w:rPr>
        <w:t xml:space="preserve">all’art. 14, D.L. 63/2013, al fine di introdurre una misura maggiorata della detrazione per gli interventi di riqualificazione energetica abbinata alla riduzione del rischio sismico. La disposizione prevede che per le spese relative agli </w:t>
      </w:r>
      <w:r w:rsidRPr="003C2133">
        <w:rPr>
          <w:rFonts w:ascii="Bookman Old Style" w:hAnsi="Bookman Old Style" w:cs="Arial"/>
          <w:bCs/>
          <w:color w:val="000000"/>
          <w:sz w:val="22"/>
          <w:szCs w:val="22"/>
          <w:lang w:eastAsia="en-US"/>
        </w:rPr>
        <w:t xml:space="preserve">interventi sulle parti comuni condominiali </w:t>
      </w:r>
      <w:r w:rsidRPr="003C2133">
        <w:rPr>
          <w:rFonts w:ascii="Bookman Old Style" w:hAnsi="Bookman Old Style" w:cs="Arial"/>
          <w:color w:val="000000"/>
          <w:sz w:val="22"/>
          <w:szCs w:val="22"/>
          <w:lang w:eastAsia="en-US"/>
        </w:rPr>
        <w:t xml:space="preserve">ricadenti nelle </w:t>
      </w:r>
      <w:r w:rsidRPr="003C2133">
        <w:rPr>
          <w:rFonts w:ascii="Bookman Old Style" w:hAnsi="Bookman Old Style" w:cs="Arial"/>
          <w:bCs/>
          <w:color w:val="000000"/>
          <w:sz w:val="22"/>
          <w:szCs w:val="22"/>
          <w:lang w:eastAsia="en-US"/>
        </w:rPr>
        <w:t>zone sismiche 1, 2 e 3 è possibile fruire di una detrazione dell’80% / 85%</w:t>
      </w:r>
      <w:r w:rsidRPr="003C2133">
        <w:rPr>
          <w:rFonts w:ascii="Bookman Old Style" w:hAnsi="Bookman Old Style" w:cs="Arial"/>
          <w:color w:val="000000"/>
          <w:sz w:val="22"/>
          <w:szCs w:val="22"/>
          <w:lang w:eastAsia="en-US"/>
        </w:rPr>
        <w:t xml:space="preserve">, a seconda che la riduzione del rischio sismico sia pari ad 1 o 2 classi, su un ammontare </w:t>
      </w:r>
      <w:r w:rsidRPr="003C2133">
        <w:rPr>
          <w:rFonts w:ascii="Bookman Old Style" w:hAnsi="Bookman Old Style" w:cs="Arial"/>
          <w:bCs/>
          <w:color w:val="000000"/>
          <w:sz w:val="22"/>
          <w:szCs w:val="22"/>
          <w:lang w:eastAsia="en-US"/>
        </w:rPr>
        <w:t xml:space="preserve">massimo di spesa pari a 136.000 euro </w:t>
      </w:r>
      <w:r w:rsidRPr="003C2133">
        <w:rPr>
          <w:rFonts w:ascii="Bookman Old Style" w:hAnsi="Bookman Old Style" w:cs="Arial"/>
          <w:color w:val="000000"/>
          <w:sz w:val="22"/>
          <w:szCs w:val="22"/>
          <w:lang w:eastAsia="en-US"/>
        </w:rPr>
        <w:t xml:space="preserve">moltiplicato per il numero delle unità di ciascun edificio, da ripartire in 10 quote annuali. L’intervento deve essere finalizzato </w:t>
      </w:r>
      <w:r w:rsidRPr="003C2133">
        <w:rPr>
          <w:rFonts w:ascii="Bookman Old Style" w:hAnsi="Bookman Old Style" w:cs="Arial"/>
          <w:bCs/>
          <w:color w:val="000000"/>
          <w:sz w:val="22"/>
          <w:szCs w:val="22"/>
          <w:lang w:eastAsia="en-US"/>
        </w:rPr>
        <w:t>congiuntamente</w:t>
      </w:r>
      <w:r w:rsidRPr="003C2133">
        <w:rPr>
          <w:rFonts w:ascii="Bookman Old Style" w:hAnsi="Bookman Old Style" w:cs="Arial"/>
          <w:color w:val="000000"/>
          <w:sz w:val="22"/>
          <w:szCs w:val="22"/>
          <w:lang w:eastAsia="en-US"/>
        </w:rPr>
        <w:t>:</w:t>
      </w:r>
    </w:p>
    <w:p w:rsidR="006649DC" w:rsidRPr="003C2133" w:rsidRDefault="006649DC" w:rsidP="003C2133">
      <w:pPr>
        <w:autoSpaceDE w:val="0"/>
        <w:autoSpaceDN w:val="0"/>
        <w:adjustRightInd w:val="0"/>
        <w:jc w:val="both"/>
        <w:rPr>
          <w:rFonts w:ascii="Bookman Old Style" w:hAnsi="Bookman Old Style" w:cs="Arial"/>
          <w:color w:val="000000"/>
          <w:sz w:val="22"/>
          <w:szCs w:val="22"/>
          <w:lang w:eastAsia="en-US"/>
        </w:rPr>
      </w:pPr>
      <w:r w:rsidRPr="003C2133">
        <w:rPr>
          <w:rFonts w:ascii="Bookman Old Style" w:eastAsia="SymbolOOEnc" w:hAnsi="Bookman Old Style" w:cs="SymbolOOEnc"/>
          <w:color w:val="000000"/>
          <w:sz w:val="22"/>
          <w:szCs w:val="22"/>
          <w:lang w:eastAsia="en-US"/>
        </w:rPr>
        <w:t xml:space="preserve">- </w:t>
      </w:r>
      <w:r w:rsidRPr="003C2133">
        <w:rPr>
          <w:rFonts w:ascii="Bookman Old Style" w:hAnsi="Bookman Old Style" w:cs="Arial"/>
          <w:color w:val="000000"/>
          <w:sz w:val="22"/>
          <w:szCs w:val="22"/>
          <w:lang w:eastAsia="en-US"/>
        </w:rPr>
        <w:t xml:space="preserve">alla </w:t>
      </w:r>
      <w:r w:rsidRPr="003C2133">
        <w:rPr>
          <w:rFonts w:ascii="Bookman Old Style" w:hAnsi="Bookman Old Style" w:cs="Arial"/>
          <w:bCs/>
          <w:color w:val="000000"/>
          <w:sz w:val="22"/>
          <w:szCs w:val="22"/>
          <w:lang w:eastAsia="en-US"/>
        </w:rPr>
        <w:t>riduzione del rischio sismico</w:t>
      </w:r>
      <w:r w:rsidRPr="003C2133">
        <w:rPr>
          <w:rFonts w:ascii="Bookman Old Style" w:hAnsi="Bookman Old Style" w:cs="Arial"/>
          <w:color w:val="000000"/>
          <w:sz w:val="22"/>
          <w:szCs w:val="22"/>
          <w:lang w:eastAsia="en-US"/>
        </w:rPr>
        <w:t>;</w:t>
      </w:r>
    </w:p>
    <w:p w:rsidR="006649DC" w:rsidRPr="003C2133" w:rsidRDefault="006649DC" w:rsidP="003C2133">
      <w:pPr>
        <w:autoSpaceDE w:val="0"/>
        <w:autoSpaceDN w:val="0"/>
        <w:adjustRightInd w:val="0"/>
        <w:jc w:val="both"/>
        <w:rPr>
          <w:rFonts w:ascii="Bookman Old Style" w:hAnsi="Bookman Old Style" w:cs="Arial"/>
          <w:color w:val="000000"/>
          <w:sz w:val="22"/>
          <w:szCs w:val="22"/>
          <w:lang w:eastAsia="en-US"/>
        </w:rPr>
      </w:pPr>
      <w:r w:rsidRPr="003C2133">
        <w:rPr>
          <w:rFonts w:ascii="Bookman Old Style" w:eastAsia="SymbolOOEnc" w:hAnsi="Bookman Old Style" w:cs="SymbolOOEnc"/>
          <w:color w:val="000000"/>
          <w:sz w:val="22"/>
          <w:szCs w:val="22"/>
          <w:lang w:eastAsia="en-US"/>
        </w:rPr>
        <w:t xml:space="preserve">- </w:t>
      </w:r>
      <w:r w:rsidRPr="003C2133">
        <w:rPr>
          <w:rFonts w:ascii="Bookman Old Style" w:hAnsi="Bookman Old Style" w:cs="Arial"/>
          <w:color w:val="000000"/>
          <w:sz w:val="22"/>
          <w:szCs w:val="22"/>
          <w:lang w:eastAsia="en-US"/>
        </w:rPr>
        <w:t xml:space="preserve">alla </w:t>
      </w:r>
      <w:r w:rsidRPr="003C2133">
        <w:rPr>
          <w:rFonts w:ascii="Bookman Old Style" w:hAnsi="Bookman Old Style" w:cs="Arial"/>
          <w:bCs/>
          <w:color w:val="000000"/>
          <w:sz w:val="22"/>
          <w:szCs w:val="22"/>
          <w:lang w:eastAsia="en-US"/>
        </w:rPr>
        <w:t>riqualificazione energetica</w:t>
      </w:r>
      <w:r w:rsidRPr="003C2133">
        <w:rPr>
          <w:rFonts w:ascii="Bookman Old Style" w:hAnsi="Bookman Old Style" w:cs="Arial"/>
          <w:color w:val="000000"/>
          <w:sz w:val="22"/>
          <w:szCs w:val="22"/>
          <w:lang w:eastAsia="en-US"/>
        </w:rPr>
        <w:t>.</w:t>
      </w:r>
    </w:p>
    <w:p w:rsidR="006649DC" w:rsidRPr="003C2133" w:rsidRDefault="006649DC" w:rsidP="003C2133">
      <w:pPr>
        <w:autoSpaceDE w:val="0"/>
        <w:autoSpaceDN w:val="0"/>
        <w:adjustRightInd w:val="0"/>
        <w:jc w:val="both"/>
        <w:rPr>
          <w:rFonts w:ascii="Bookman Old Style" w:hAnsi="Bookman Old Style" w:cs="Arial"/>
          <w:color w:val="000000"/>
          <w:sz w:val="22"/>
          <w:szCs w:val="22"/>
          <w:lang w:eastAsia="en-US"/>
        </w:rPr>
      </w:pPr>
      <w:r w:rsidRPr="003C2133">
        <w:rPr>
          <w:rFonts w:ascii="Bookman Old Style" w:hAnsi="Bookman Old Style" w:cs="Arial"/>
          <w:color w:val="000000"/>
          <w:sz w:val="22"/>
          <w:szCs w:val="22"/>
          <w:lang w:eastAsia="en-US"/>
        </w:rPr>
        <w:t xml:space="preserve">In tal caso, la detrazione spetta in </w:t>
      </w:r>
      <w:r w:rsidRPr="003C2133">
        <w:rPr>
          <w:rFonts w:ascii="Bookman Old Style" w:hAnsi="Bookman Old Style" w:cs="Arial"/>
          <w:bCs/>
          <w:color w:val="000000"/>
          <w:sz w:val="22"/>
          <w:szCs w:val="22"/>
          <w:lang w:eastAsia="en-US"/>
        </w:rPr>
        <w:t xml:space="preserve">alternativa alle rispettive detrazioni </w:t>
      </w:r>
      <w:r w:rsidRPr="003C2133">
        <w:rPr>
          <w:rFonts w:ascii="Bookman Old Style" w:hAnsi="Bookman Old Style" w:cs="Arial"/>
          <w:color w:val="000000"/>
          <w:sz w:val="22"/>
          <w:szCs w:val="22"/>
          <w:lang w:eastAsia="en-US"/>
        </w:rPr>
        <w:t>previste dal co. 2-quater e dal co. 1-quinquies dell’art. 16, D.L. 63/2013.</w:t>
      </w:r>
    </w:p>
    <w:p w:rsidR="006649DC" w:rsidRPr="003C2133" w:rsidRDefault="006649DC" w:rsidP="00347EDC">
      <w:pPr>
        <w:rPr>
          <w:rFonts w:ascii="Bookman Old Style" w:hAnsi="Bookman Old Style"/>
        </w:rPr>
      </w:pPr>
    </w:p>
    <w:p w:rsidR="006649DC" w:rsidRPr="00A31490" w:rsidRDefault="006649DC" w:rsidP="003C2133">
      <w:pPr>
        <w:autoSpaceDE w:val="0"/>
        <w:autoSpaceDN w:val="0"/>
        <w:adjustRightInd w:val="0"/>
        <w:jc w:val="both"/>
        <w:rPr>
          <w:rFonts w:ascii="Bookman Old Style" w:hAnsi="Bookman Old Style" w:cs="Arial"/>
          <w:i/>
          <w:color w:val="000000"/>
          <w:sz w:val="22"/>
          <w:szCs w:val="22"/>
          <w:lang w:eastAsia="en-US"/>
        </w:rPr>
      </w:pPr>
      <w:r w:rsidRPr="00A31490">
        <w:rPr>
          <w:rFonts w:ascii="Bookman Old Style" w:hAnsi="Bookman Old Style" w:cs="Arial"/>
          <w:i/>
          <w:color w:val="000000"/>
          <w:sz w:val="22"/>
          <w:szCs w:val="22"/>
          <w:lang w:eastAsia="en-US"/>
        </w:rPr>
        <w:t>Cessione del credito ai fornitori</w:t>
      </w:r>
    </w:p>
    <w:p w:rsidR="006649DC" w:rsidRDefault="006649DC" w:rsidP="003C2133">
      <w:pPr>
        <w:autoSpaceDE w:val="0"/>
        <w:autoSpaceDN w:val="0"/>
        <w:adjustRightInd w:val="0"/>
        <w:jc w:val="both"/>
        <w:rPr>
          <w:rFonts w:ascii="Bookman Old Style" w:hAnsi="Bookman Old Style" w:cs="Arial"/>
          <w:color w:val="000000"/>
          <w:sz w:val="22"/>
          <w:szCs w:val="22"/>
          <w:lang w:eastAsia="en-US"/>
        </w:rPr>
      </w:pPr>
      <w:r>
        <w:rPr>
          <w:rFonts w:ascii="Bookman Old Style" w:hAnsi="Bookman Old Style" w:cs="Arial"/>
          <w:color w:val="000000"/>
          <w:sz w:val="22"/>
          <w:szCs w:val="22"/>
          <w:lang w:eastAsia="en-US"/>
        </w:rPr>
        <w:t>La normativa della cessione, ai fornitori, dei crediti derivanti dalla detrazione spettante, ha seguito il seguente percorso:</w:t>
      </w:r>
    </w:p>
    <w:p w:rsidR="006649DC" w:rsidRDefault="006649DC" w:rsidP="003C2133">
      <w:pPr>
        <w:autoSpaceDE w:val="0"/>
        <w:autoSpaceDN w:val="0"/>
        <w:adjustRightInd w:val="0"/>
        <w:jc w:val="both"/>
        <w:rPr>
          <w:rFonts w:ascii="Bookman Old Style" w:hAnsi="Bookman Old Style" w:cs="Arial"/>
          <w:color w:val="000000"/>
          <w:sz w:val="22"/>
          <w:szCs w:val="22"/>
          <w:lang w:eastAsia="en-US"/>
        </w:rPr>
      </w:pPr>
      <w:r>
        <w:rPr>
          <w:rFonts w:ascii="Bookman Old Style" w:hAnsi="Bookman Old Style" w:cs="Arial"/>
          <w:color w:val="000000"/>
          <w:sz w:val="22"/>
          <w:szCs w:val="22"/>
          <w:lang w:eastAsia="en-US"/>
        </w:rPr>
        <w:t>- l</w:t>
      </w:r>
      <w:r w:rsidRPr="003210BD">
        <w:rPr>
          <w:rFonts w:ascii="Bookman Old Style" w:hAnsi="Bookman Old Style" w:cs="Arial"/>
          <w:color w:val="000000"/>
          <w:sz w:val="22"/>
          <w:szCs w:val="22"/>
          <w:lang w:eastAsia="en-US"/>
        </w:rPr>
        <w:t xml:space="preserve">a </w:t>
      </w:r>
      <w:r>
        <w:rPr>
          <w:rFonts w:ascii="Bookman Old Style" w:hAnsi="Bookman Old Style" w:cs="Arial"/>
          <w:color w:val="000000"/>
          <w:sz w:val="22"/>
          <w:szCs w:val="22"/>
          <w:lang w:eastAsia="en-US"/>
        </w:rPr>
        <w:t>Legge di stabilità</w:t>
      </w:r>
      <w:r w:rsidRPr="003210BD">
        <w:rPr>
          <w:rFonts w:ascii="Bookman Old Style" w:hAnsi="Bookman Old Style" w:cs="Arial"/>
          <w:color w:val="000000"/>
          <w:sz w:val="22"/>
          <w:szCs w:val="22"/>
          <w:lang w:eastAsia="en-US"/>
        </w:rPr>
        <w:t xml:space="preserve"> 2016 </w:t>
      </w:r>
      <w:r>
        <w:rPr>
          <w:rFonts w:ascii="Bookman Old Style" w:hAnsi="Bookman Old Style" w:cs="Arial"/>
          <w:color w:val="000000"/>
          <w:sz w:val="22"/>
          <w:szCs w:val="22"/>
          <w:lang w:eastAsia="en-US"/>
        </w:rPr>
        <w:t xml:space="preserve">(L. 28.12.2015, n. 208) </w:t>
      </w:r>
      <w:r w:rsidRPr="003210BD">
        <w:rPr>
          <w:rFonts w:ascii="Bookman Old Style" w:hAnsi="Bookman Old Style" w:cs="Arial"/>
          <w:color w:val="000000"/>
          <w:sz w:val="22"/>
          <w:szCs w:val="22"/>
          <w:lang w:eastAsia="en-US"/>
        </w:rPr>
        <w:t xml:space="preserve">ha introdotto la </w:t>
      </w:r>
      <w:r w:rsidRPr="003210BD">
        <w:rPr>
          <w:rFonts w:ascii="Bookman Old Style" w:hAnsi="Bookman Old Style" w:cs="Arial"/>
          <w:bCs/>
          <w:color w:val="000000"/>
          <w:sz w:val="22"/>
          <w:szCs w:val="22"/>
          <w:lang w:eastAsia="en-US"/>
        </w:rPr>
        <w:t xml:space="preserve">possibilità </w:t>
      </w:r>
      <w:r>
        <w:rPr>
          <w:rFonts w:ascii="Bookman Old Style" w:hAnsi="Bookman Old Style" w:cs="Arial"/>
          <w:bCs/>
          <w:color w:val="000000"/>
          <w:sz w:val="22"/>
          <w:szCs w:val="22"/>
          <w:lang w:eastAsia="en-US"/>
        </w:rPr>
        <w:t>-</w:t>
      </w:r>
      <w:r w:rsidRPr="003210BD">
        <w:rPr>
          <w:rFonts w:ascii="Bookman Old Style" w:hAnsi="Bookman Old Style" w:cs="Arial"/>
          <w:color w:val="000000"/>
          <w:sz w:val="22"/>
          <w:szCs w:val="22"/>
          <w:lang w:eastAsia="en-US"/>
        </w:rPr>
        <w:t xml:space="preserve"> a favore dei cd. “</w:t>
      </w:r>
      <w:r w:rsidRPr="003210BD">
        <w:rPr>
          <w:rFonts w:ascii="Bookman Old Style" w:hAnsi="Bookman Old Style" w:cs="Arial"/>
          <w:bCs/>
          <w:color w:val="000000"/>
          <w:sz w:val="22"/>
          <w:szCs w:val="22"/>
          <w:lang w:eastAsia="en-US"/>
        </w:rPr>
        <w:t>soggetti incapienti</w:t>
      </w:r>
      <w:r w:rsidRPr="003210BD">
        <w:rPr>
          <w:rFonts w:ascii="Bookman Old Style" w:hAnsi="Bookman Old Style" w:cs="Arial"/>
          <w:color w:val="000000"/>
          <w:sz w:val="22"/>
          <w:szCs w:val="22"/>
          <w:lang w:eastAsia="en-US"/>
        </w:rPr>
        <w:t xml:space="preserve">” ai sensi degli artt. 11, co. 2 e 13, co. 1, lett. a) e 5, lett. a), </w:t>
      </w:r>
      <w:r>
        <w:rPr>
          <w:rFonts w:ascii="Bookman Old Style" w:hAnsi="Bookman Old Style" w:cs="Arial"/>
          <w:color w:val="000000"/>
          <w:sz w:val="22"/>
          <w:szCs w:val="22"/>
          <w:lang w:eastAsia="en-US"/>
        </w:rPr>
        <w:t xml:space="preserve">D.P.R. 917/1986 - </w:t>
      </w:r>
      <w:r w:rsidRPr="003210BD">
        <w:rPr>
          <w:rFonts w:ascii="Bookman Old Style" w:hAnsi="Bookman Old Style" w:cs="Arial"/>
          <w:bCs/>
          <w:color w:val="000000"/>
          <w:sz w:val="22"/>
          <w:szCs w:val="22"/>
          <w:lang w:eastAsia="en-US"/>
        </w:rPr>
        <w:t xml:space="preserve">di optare, in luogo della detrazione, per la cessione del corrispondente credito </w:t>
      </w:r>
      <w:r w:rsidRPr="003210BD">
        <w:rPr>
          <w:rFonts w:ascii="Bookman Old Style" w:hAnsi="Bookman Old Style" w:cs="Arial"/>
          <w:color w:val="000000"/>
          <w:sz w:val="22"/>
          <w:szCs w:val="22"/>
          <w:lang w:eastAsia="en-US"/>
        </w:rPr>
        <w:t xml:space="preserve">ai fornitori che hanno eseguito gli interventi agevolabili di riqualificazione energetica riguardanti </w:t>
      </w:r>
      <w:r w:rsidRPr="003210BD">
        <w:rPr>
          <w:rFonts w:ascii="Bookman Old Style" w:hAnsi="Bookman Old Style" w:cs="Arial"/>
          <w:bCs/>
          <w:color w:val="000000"/>
          <w:sz w:val="22"/>
          <w:szCs w:val="22"/>
          <w:lang w:eastAsia="en-US"/>
        </w:rPr>
        <w:t>parti comuni condominiali</w:t>
      </w:r>
      <w:r>
        <w:rPr>
          <w:rFonts w:ascii="Bookman Old Style" w:hAnsi="Bookman Old Style" w:cs="Arial"/>
          <w:color w:val="000000"/>
          <w:sz w:val="22"/>
          <w:szCs w:val="22"/>
          <w:lang w:eastAsia="en-US"/>
        </w:rPr>
        <w:t>;</w:t>
      </w:r>
    </w:p>
    <w:p w:rsidR="006649DC" w:rsidRPr="003210BD" w:rsidRDefault="006649DC" w:rsidP="003C2133">
      <w:pPr>
        <w:autoSpaceDE w:val="0"/>
        <w:autoSpaceDN w:val="0"/>
        <w:adjustRightInd w:val="0"/>
        <w:jc w:val="both"/>
        <w:rPr>
          <w:rFonts w:ascii="Bookman Old Style" w:hAnsi="Bookman Old Style" w:cs="Arial"/>
          <w:color w:val="000000"/>
          <w:sz w:val="22"/>
          <w:szCs w:val="22"/>
          <w:lang w:eastAsia="en-US"/>
        </w:rPr>
      </w:pPr>
      <w:r>
        <w:rPr>
          <w:rFonts w:ascii="Bookman Old Style" w:hAnsi="Bookman Old Style" w:cs="Arial"/>
          <w:color w:val="000000"/>
          <w:sz w:val="22"/>
          <w:szCs w:val="22"/>
          <w:lang w:eastAsia="en-US"/>
        </w:rPr>
        <w:t xml:space="preserve">- </w:t>
      </w:r>
      <w:r w:rsidRPr="003210BD">
        <w:rPr>
          <w:rFonts w:ascii="Bookman Old Style" w:hAnsi="Bookman Old Style" w:cs="Arial"/>
          <w:color w:val="000000"/>
          <w:sz w:val="22"/>
          <w:szCs w:val="22"/>
          <w:lang w:eastAsia="en-US"/>
        </w:rPr>
        <w:t xml:space="preserve">la </w:t>
      </w:r>
      <w:r>
        <w:rPr>
          <w:rFonts w:ascii="Bookman Old Style" w:hAnsi="Bookman Old Style" w:cs="Arial"/>
          <w:color w:val="000000"/>
          <w:sz w:val="22"/>
          <w:szCs w:val="22"/>
          <w:lang w:eastAsia="en-US"/>
        </w:rPr>
        <w:t>Legge di bilancio</w:t>
      </w:r>
      <w:r w:rsidRPr="003210BD">
        <w:rPr>
          <w:rFonts w:ascii="Bookman Old Style" w:hAnsi="Bookman Old Style" w:cs="Arial"/>
          <w:color w:val="000000"/>
          <w:sz w:val="22"/>
          <w:szCs w:val="22"/>
          <w:lang w:eastAsia="en-US"/>
        </w:rPr>
        <w:t xml:space="preserve"> 2017 </w:t>
      </w:r>
      <w:r>
        <w:rPr>
          <w:rFonts w:ascii="Bookman Old Style" w:hAnsi="Bookman Old Style" w:cs="Arial"/>
          <w:color w:val="000000"/>
          <w:sz w:val="22"/>
          <w:szCs w:val="22"/>
          <w:lang w:eastAsia="en-US"/>
        </w:rPr>
        <w:t xml:space="preserve">(L. 11.12.2016, n. 232) </w:t>
      </w:r>
      <w:r w:rsidRPr="003210BD">
        <w:rPr>
          <w:rFonts w:ascii="Bookman Old Style" w:hAnsi="Bookman Old Style" w:cs="Arial"/>
          <w:color w:val="000000"/>
          <w:sz w:val="22"/>
          <w:szCs w:val="22"/>
          <w:lang w:eastAsia="en-US"/>
        </w:rPr>
        <w:t xml:space="preserve">ha introdotto la possibilità di cessione del credito </w:t>
      </w:r>
      <w:r w:rsidRPr="003210BD">
        <w:rPr>
          <w:rFonts w:ascii="Bookman Old Style" w:hAnsi="Bookman Old Style" w:cs="Arial"/>
          <w:bCs/>
          <w:color w:val="000000"/>
          <w:sz w:val="22"/>
          <w:szCs w:val="22"/>
          <w:lang w:eastAsia="en-US"/>
        </w:rPr>
        <w:t xml:space="preserve">anche da parte dei soggetti </w:t>
      </w:r>
      <w:r w:rsidRPr="003210BD">
        <w:rPr>
          <w:rFonts w:ascii="Bookman Old Style" w:hAnsi="Bookman Old Style" w:cs="Arial"/>
          <w:color w:val="000000"/>
          <w:sz w:val="22"/>
          <w:szCs w:val="22"/>
          <w:lang w:eastAsia="en-US"/>
        </w:rPr>
        <w:t>“</w:t>
      </w:r>
      <w:r w:rsidRPr="003210BD">
        <w:rPr>
          <w:rFonts w:ascii="Bookman Old Style" w:hAnsi="Bookman Old Style" w:cs="Arial"/>
          <w:bCs/>
          <w:color w:val="000000"/>
          <w:sz w:val="22"/>
          <w:szCs w:val="22"/>
          <w:lang w:eastAsia="en-US"/>
        </w:rPr>
        <w:t>capienti</w:t>
      </w:r>
      <w:r w:rsidRPr="003210BD">
        <w:rPr>
          <w:rFonts w:ascii="Bookman Old Style" w:hAnsi="Bookman Old Style" w:cs="Arial"/>
          <w:color w:val="000000"/>
          <w:sz w:val="22"/>
          <w:szCs w:val="22"/>
          <w:lang w:eastAsia="en-US"/>
        </w:rPr>
        <w:t xml:space="preserve">”, </w:t>
      </w:r>
      <w:r>
        <w:rPr>
          <w:rFonts w:ascii="Bookman Old Style" w:hAnsi="Bookman Old Style" w:cs="Arial"/>
          <w:color w:val="000000"/>
          <w:sz w:val="22"/>
          <w:szCs w:val="22"/>
          <w:lang w:eastAsia="en-US"/>
        </w:rPr>
        <w:t>limitatamente</w:t>
      </w:r>
      <w:r w:rsidRPr="003210BD">
        <w:rPr>
          <w:rFonts w:ascii="Bookman Old Style" w:hAnsi="Bookman Old Style" w:cs="Arial"/>
          <w:color w:val="000000"/>
          <w:sz w:val="22"/>
          <w:szCs w:val="22"/>
          <w:lang w:eastAsia="en-US"/>
        </w:rPr>
        <w:t xml:space="preserve"> agli interventi di riqualificazione su parti comuni condominiali che consentono di fruire della </w:t>
      </w:r>
      <w:r w:rsidRPr="003210BD">
        <w:rPr>
          <w:rFonts w:ascii="Bookman Old Style" w:hAnsi="Bookman Old Style" w:cs="Arial"/>
          <w:bCs/>
          <w:color w:val="000000"/>
          <w:sz w:val="22"/>
          <w:szCs w:val="22"/>
          <w:lang w:eastAsia="en-US"/>
        </w:rPr>
        <w:t xml:space="preserve">detrazione nella maggior misura del 70% </w:t>
      </w:r>
      <w:r>
        <w:rPr>
          <w:rFonts w:ascii="Bookman Old Style" w:hAnsi="Bookman Old Style" w:cs="Arial"/>
          <w:bCs/>
          <w:color w:val="000000"/>
          <w:sz w:val="22"/>
          <w:szCs w:val="22"/>
          <w:lang w:eastAsia="en-US"/>
        </w:rPr>
        <w:t>/</w:t>
      </w:r>
      <w:r w:rsidRPr="003210BD">
        <w:rPr>
          <w:rFonts w:ascii="Bookman Old Style" w:hAnsi="Bookman Old Style" w:cs="Arial"/>
          <w:bCs/>
          <w:color w:val="000000"/>
          <w:sz w:val="22"/>
          <w:szCs w:val="22"/>
          <w:lang w:eastAsia="en-US"/>
        </w:rPr>
        <w:t xml:space="preserve"> 75%</w:t>
      </w:r>
      <w:r>
        <w:rPr>
          <w:rFonts w:ascii="Bookman Old Style" w:hAnsi="Bookman Old Style" w:cs="Arial"/>
          <w:color w:val="000000"/>
          <w:sz w:val="22"/>
          <w:szCs w:val="22"/>
          <w:lang w:eastAsia="en-US"/>
        </w:rPr>
        <w:t xml:space="preserve"> (</w:t>
      </w:r>
      <w:r w:rsidRPr="003210BD">
        <w:rPr>
          <w:rFonts w:ascii="Bookman Old Style" w:hAnsi="Bookman Old Style" w:cs="Arial"/>
          <w:color w:val="000000"/>
          <w:sz w:val="22"/>
          <w:szCs w:val="22"/>
          <w:lang w:eastAsia="en-US"/>
        </w:rPr>
        <w:t>ai sensi dell’art. 14, co. 2-quater, D.L. 63/2013</w:t>
      </w:r>
      <w:r>
        <w:rPr>
          <w:rFonts w:ascii="Bookman Old Style" w:hAnsi="Bookman Old Style" w:cs="Arial"/>
          <w:color w:val="000000"/>
          <w:sz w:val="22"/>
          <w:szCs w:val="22"/>
          <w:lang w:eastAsia="en-US"/>
        </w:rPr>
        <w:t>)</w:t>
      </w:r>
      <w:r w:rsidRPr="003210BD">
        <w:rPr>
          <w:rFonts w:ascii="Bookman Old Style" w:hAnsi="Bookman Old Style" w:cs="Arial"/>
          <w:color w:val="000000"/>
          <w:sz w:val="22"/>
          <w:szCs w:val="22"/>
          <w:lang w:eastAsia="en-US"/>
        </w:rPr>
        <w:t>;</w:t>
      </w:r>
    </w:p>
    <w:p w:rsidR="006649DC" w:rsidRPr="003210BD" w:rsidRDefault="006649DC" w:rsidP="003C2133">
      <w:pPr>
        <w:autoSpaceDE w:val="0"/>
        <w:autoSpaceDN w:val="0"/>
        <w:adjustRightInd w:val="0"/>
        <w:jc w:val="both"/>
        <w:rPr>
          <w:rFonts w:ascii="Bookman Old Style" w:hAnsi="Bookman Old Style" w:cs="Arial"/>
          <w:i/>
          <w:iCs/>
          <w:color w:val="000000"/>
          <w:sz w:val="22"/>
          <w:szCs w:val="22"/>
          <w:lang w:eastAsia="en-US"/>
        </w:rPr>
      </w:pPr>
      <w:r>
        <w:rPr>
          <w:rFonts w:ascii="Bookman Old Style" w:eastAsia="SymbolOOEnc" w:hAnsi="Bookman Old Style" w:cs="SymbolOOEnc"/>
          <w:color w:val="000000"/>
          <w:sz w:val="22"/>
          <w:szCs w:val="22"/>
          <w:lang w:eastAsia="en-US"/>
        </w:rPr>
        <w:t xml:space="preserve">- </w:t>
      </w:r>
      <w:r w:rsidRPr="003210BD">
        <w:rPr>
          <w:rFonts w:ascii="Bookman Old Style" w:hAnsi="Bookman Old Style" w:cs="Arial"/>
          <w:color w:val="000000"/>
          <w:sz w:val="22"/>
          <w:szCs w:val="22"/>
          <w:lang w:eastAsia="en-US"/>
        </w:rPr>
        <w:t>l’art. 4-bis, D.L.</w:t>
      </w:r>
      <w:r>
        <w:rPr>
          <w:rFonts w:ascii="Bookman Old Style" w:hAnsi="Bookman Old Style" w:cs="Arial"/>
          <w:color w:val="000000"/>
          <w:sz w:val="22"/>
          <w:szCs w:val="22"/>
          <w:lang w:eastAsia="en-US"/>
        </w:rPr>
        <w:t xml:space="preserve"> 50/2017 ha esteso</w:t>
      </w:r>
      <w:r w:rsidRPr="003210BD">
        <w:rPr>
          <w:rFonts w:ascii="Bookman Old Style" w:hAnsi="Bookman Old Style" w:cs="Arial"/>
          <w:color w:val="000000"/>
          <w:sz w:val="22"/>
          <w:szCs w:val="22"/>
          <w:lang w:eastAsia="en-US"/>
        </w:rPr>
        <w:t xml:space="preserve"> la possibilità di cedere il credito corrispondente alla detrazione spettante da parte dei </w:t>
      </w:r>
      <w:r w:rsidRPr="003210BD">
        <w:rPr>
          <w:rFonts w:ascii="Bookman Old Style" w:hAnsi="Bookman Old Style" w:cs="Arial"/>
          <w:bCs/>
          <w:color w:val="000000"/>
          <w:sz w:val="22"/>
          <w:szCs w:val="22"/>
          <w:lang w:eastAsia="en-US"/>
        </w:rPr>
        <w:t xml:space="preserve">soggetti </w:t>
      </w:r>
      <w:r w:rsidRPr="003210BD">
        <w:rPr>
          <w:rFonts w:ascii="Bookman Old Style" w:hAnsi="Bookman Old Style" w:cs="Arial"/>
          <w:color w:val="000000"/>
          <w:sz w:val="22"/>
          <w:szCs w:val="22"/>
          <w:lang w:eastAsia="en-US"/>
        </w:rPr>
        <w:t>“</w:t>
      </w:r>
      <w:r w:rsidRPr="003210BD">
        <w:rPr>
          <w:rFonts w:ascii="Bookman Old Style" w:hAnsi="Bookman Old Style" w:cs="Arial"/>
          <w:bCs/>
          <w:color w:val="000000"/>
          <w:sz w:val="22"/>
          <w:szCs w:val="22"/>
          <w:lang w:eastAsia="en-US"/>
        </w:rPr>
        <w:t>incapienti</w:t>
      </w:r>
      <w:r w:rsidRPr="003210BD">
        <w:rPr>
          <w:rFonts w:ascii="Bookman Old Style" w:hAnsi="Bookman Old Style" w:cs="Arial"/>
          <w:color w:val="000000"/>
          <w:sz w:val="22"/>
          <w:szCs w:val="22"/>
          <w:lang w:eastAsia="en-US"/>
        </w:rPr>
        <w:t>”</w:t>
      </w:r>
      <w:r w:rsidRPr="003210BD">
        <w:rPr>
          <w:rFonts w:ascii="Bookman Old Style" w:eastAsia="SymbolOOEnc" w:hAnsi="Bookman Old Style" w:cs="SymbolOOEnc"/>
          <w:color w:val="000000"/>
          <w:sz w:val="22"/>
          <w:szCs w:val="22"/>
          <w:lang w:eastAsia="en-US"/>
        </w:rPr>
        <w:t xml:space="preserve"> </w:t>
      </w:r>
      <w:r w:rsidRPr="003210BD">
        <w:rPr>
          <w:rFonts w:ascii="Bookman Old Style" w:hAnsi="Bookman Old Style" w:cs="Arial"/>
          <w:bCs/>
          <w:color w:val="000000"/>
          <w:sz w:val="22"/>
          <w:szCs w:val="22"/>
          <w:lang w:eastAsia="en-US"/>
        </w:rPr>
        <w:t xml:space="preserve">anche con riferimento agli interventi </w:t>
      </w:r>
      <w:r w:rsidRPr="003210BD">
        <w:rPr>
          <w:rFonts w:ascii="Bookman Old Style" w:hAnsi="Bookman Old Style" w:cs="Arial"/>
          <w:color w:val="000000"/>
          <w:sz w:val="22"/>
          <w:szCs w:val="22"/>
          <w:lang w:eastAsia="en-US"/>
        </w:rPr>
        <w:t xml:space="preserve">per i quali spetta la </w:t>
      </w:r>
      <w:r w:rsidRPr="003210BD">
        <w:rPr>
          <w:rFonts w:ascii="Bookman Old Style" w:hAnsi="Bookman Old Style" w:cs="Arial"/>
          <w:bCs/>
          <w:color w:val="000000"/>
          <w:sz w:val="22"/>
          <w:szCs w:val="22"/>
          <w:lang w:eastAsia="en-US"/>
        </w:rPr>
        <w:t xml:space="preserve">detrazione nella maggior misura del 70% </w:t>
      </w:r>
      <w:r>
        <w:rPr>
          <w:rFonts w:ascii="Bookman Old Style" w:hAnsi="Bookman Old Style" w:cs="Arial"/>
          <w:bCs/>
          <w:color w:val="000000"/>
          <w:sz w:val="22"/>
          <w:szCs w:val="22"/>
          <w:lang w:eastAsia="en-US"/>
        </w:rPr>
        <w:t>/</w:t>
      </w:r>
      <w:r w:rsidRPr="003210BD">
        <w:rPr>
          <w:rFonts w:ascii="Bookman Old Style" w:hAnsi="Bookman Old Style" w:cs="Arial"/>
          <w:bCs/>
          <w:color w:val="000000"/>
          <w:sz w:val="22"/>
          <w:szCs w:val="22"/>
          <w:lang w:eastAsia="en-US"/>
        </w:rPr>
        <w:t xml:space="preserve"> 75%</w:t>
      </w:r>
      <w:r>
        <w:rPr>
          <w:rFonts w:ascii="Bookman Old Style" w:hAnsi="Bookman Old Style" w:cs="Arial"/>
          <w:bCs/>
          <w:color w:val="000000"/>
          <w:sz w:val="22"/>
          <w:szCs w:val="22"/>
          <w:lang w:eastAsia="en-US"/>
        </w:rPr>
        <w:t xml:space="preserve"> (</w:t>
      </w:r>
      <w:r w:rsidRPr="003210BD">
        <w:rPr>
          <w:rFonts w:ascii="Bookman Old Style" w:hAnsi="Bookman Old Style" w:cs="Arial"/>
          <w:color w:val="000000"/>
          <w:sz w:val="22"/>
          <w:szCs w:val="22"/>
          <w:lang w:eastAsia="en-US"/>
        </w:rPr>
        <w:t>ai sensi dell’art. 14, co. 2-quater, D.L. 63/2013</w:t>
      </w:r>
      <w:r>
        <w:rPr>
          <w:rFonts w:ascii="Bookman Old Style" w:hAnsi="Bookman Old Style" w:cs="Arial"/>
          <w:color w:val="000000"/>
          <w:sz w:val="22"/>
          <w:szCs w:val="22"/>
          <w:lang w:eastAsia="en-US"/>
        </w:rPr>
        <w:t xml:space="preserve">) ed ha concesso la cessione del credito, </w:t>
      </w:r>
      <w:r w:rsidRPr="003210BD">
        <w:rPr>
          <w:rFonts w:ascii="Bookman Old Style" w:hAnsi="Bookman Old Style" w:cs="Arial"/>
          <w:color w:val="000000"/>
          <w:sz w:val="22"/>
          <w:szCs w:val="22"/>
          <w:lang w:eastAsia="en-US"/>
        </w:rPr>
        <w:t xml:space="preserve">oltre che a favore dei </w:t>
      </w:r>
      <w:r w:rsidRPr="003210BD">
        <w:rPr>
          <w:rFonts w:ascii="Bookman Old Style" w:hAnsi="Bookman Old Style" w:cs="Arial"/>
          <w:bCs/>
          <w:color w:val="000000"/>
          <w:sz w:val="22"/>
          <w:szCs w:val="22"/>
          <w:lang w:eastAsia="en-US"/>
        </w:rPr>
        <w:t xml:space="preserve">fornitori </w:t>
      </w:r>
      <w:r w:rsidRPr="003210BD">
        <w:rPr>
          <w:rFonts w:ascii="Bookman Old Style" w:hAnsi="Bookman Old Style" w:cs="Arial"/>
          <w:color w:val="000000"/>
          <w:sz w:val="22"/>
          <w:szCs w:val="22"/>
          <w:lang w:eastAsia="en-US"/>
        </w:rPr>
        <w:t xml:space="preserve">che hanno eseguito gli interventi agevolabili, </w:t>
      </w:r>
      <w:r w:rsidRPr="003210BD">
        <w:rPr>
          <w:rFonts w:ascii="Bookman Old Style" w:hAnsi="Bookman Old Style" w:cs="Arial"/>
          <w:bCs/>
          <w:color w:val="000000"/>
          <w:sz w:val="22"/>
          <w:szCs w:val="22"/>
          <w:lang w:eastAsia="en-US"/>
        </w:rPr>
        <w:t xml:space="preserve">anche a favore di </w:t>
      </w:r>
      <w:r w:rsidRPr="003210BD">
        <w:rPr>
          <w:rFonts w:ascii="Bookman Old Style" w:hAnsi="Bookman Old Style" w:cs="Arial"/>
          <w:i/>
          <w:iCs/>
          <w:color w:val="000000"/>
          <w:sz w:val="22"/>
          <w:szCs w:val="22"/>
          <w:lang w:eastAsia="en-US"/>
        </w:rPr>
        <w:t>“</w:t>
      </w:r>
      <w:r w:rsidRPr="003210BD">
        <w:rPr>
          <w:rFonts w:ascii="Bookman Old Style" w:hAnsi="Bookman Old Style" w:cs="Arial"/>
          <w:bCs/>
          <w:i/>
          <w:iCs/>
          <w:color w:val="000000"/>
          <w:sz w:val="22"/>
          <w:szCs w:val="22"/>
          <w:lang w:eastAsia="en-US"/>
        </w:rPr>
        <w:t>altri soggetti privati</w:t>
      </w:r>
      <w:r w:rsidRPr="003210BD">
        <w:rPr>
          <w:rFonts w:ascii="Bookman Old Style" w:hAnsi="Bookman Old Style" w:cs="Arial"/>
          <w:i/>
          <w:iCs/>
          <w:color w:val="000000"/>
          <w:sz w:val="22"/>
          <w:szCs w:val="22"/>
          <w:lang w:eastAsia="en-US"/>
        </w:rPr>
        <w:t xml:space="preserve">, </w:t>
      </w:r>
      <w:r w:rsidRPr="003210BD">
        <w:rPr>
          <w:rFonts w:ascii="Bookman Old Style" w:hAnsi="Bookman Old Style" w:cs="Arial"/>
          <w:bCs/>
          <w:i/>
          <w:iCs/>
          <w:color w:val="000000"/>
          <w:sz w:val="22"/>
          <w:szCs w:val="22"/>
          <w:lang w:eastAsia="en-US"/>
        </w:rPr>
        <w:t>con la facoltà di successiva cessione del credito</w:t>
      </w:r>
      <w:r w:rsidRPr="003210BD">
        <w:rPr>
          <w:rFonts w:ascii="Bookman Old Style" w:hAnsi="Bookman Old Style" w:cs="Arial"/>
          <w:i/>
          <w:iCs/>
          <w:color w:val="000000"/>
          <w:sz w:val="22"/>
          <w:szCs w:val="22"/>
          <w:lang w:eastAsia="en-US"/>
        </w:rPr>
        <w:t>”</w:t>
      </w:r>
      <w:r w:rsidRPr="003210BD">
        <w:rPr>
          <w:rFonts w:ascii="Bookman Old Style" w:hAnsi="Bookman Old Style" w:cs="Arial"/>
          <w:iCs/>
          <w:color w:val="000000"/>
          <w:sz w:val="22"/>
          <w:szCs w:val="22"/>
          <w:lang w:eastAsia="en-US"/>
        </w:rPr>
        <w:t>.</w:t>
      </w:r>
    </w:p>
    <w:p w:rsidR="006649DC" w:rsidRDefault="006649DC" w:rsidP="003C2133">
      <w:pPr>
        <w:autoSpaceDE w:val="0"/>
        <w:autoSpaceDN w:val="0"/>
        <w:adjustRightInd w:val="0"/>
        <w:jc w:val="both"/>
        <w:rPr>
          <w:rFonts w:ascii="Bookman Old Style" w:hAnsi="Bookman Old Style" w:cs="Arial"/>
          <w:color w:val="000000"/>
          <w:sz w:val="22"/>
          <w:szCs w:val="22"/>
          <w:lang w:eastAsia="en-US"/>
        </w:rPr>
      </w:pPr>
      <w:r>
        <w:rPr>
          <w:rFonts w:ascii="Bookman Old Style" w:hAnsi="Bookman Old Style" w:cs="Arial"/>
          <w:color w:val="000000"/>
          <w:sz w:val="22"/>
          <w:szCs w:val="22"/>
          <w:lang w:eastAsia="en-US"/>
        </w:rPr>
        <w:t xml:space="preserve">I </w:t>
      </w:r>
      <w:r w:rsidRPr="003210BD">
        <w:rPr>
          <w:rFonts w:ascii="Bookman Old Style" w:hAnsi="Bookman Old Style" w:cs="Arial"/>
          <w:color w:val="000000"/>
          <w:sz w:val="22"/>
          <w:szCs w:val="22"/>
          <w:lang w:eastAsia="en-US"/>
        </w:rPr>
        <w:t>nn. 5) e 8) del</w:t>
      </w:r>
      <w:r>
        <w:rPr>
          <w:rFonts w:ascii="Bookman Old Style" w:hAnsi="Bookman Old Style" w:cs="Arial"/>
          <w:color w:val="000000"/>
          <w:sz w:val="22"/>
          <w:szCs w:val="22"/>
          <w:lang w:eastAsia="en-US"/>
        </w:rPr>
        <w:t xml:space="preserve"> co. 3, L. 205/2017 (Legge di bilancio 2018) dispongono</w:t>
      </w:r>
      <w:r w:rsidRPr="003210BD">
        <w:rPr>
          <w:rFonts w:ascii="Bookman Old Style" w:hAnsi="Bookman Old Style" w:cs="Arial"/>
          <w:color w:val="000000"/>
          <w:sz w:val="22"/>
          <w:szCs w:val="22"/>
          <w:lang w:eastAsia="en-US"/>
        </w:rPr>
        <w:t xml:space="preserve"> che la </w:t>
      </w:r>
      <w:r w:rsidRPr="003210BD">
        <w:rPr>
          <w:rFonts w:ascii="Bookman Old Style" w:hAnsi="Bookman Old Style" w:cs="Arial"/>
          <w:bCs/>
          <w:color w:val="000000"/>
          <w:sz w:val="22"/>
          <w:szCs w:val="22"/>
          <w:lang w:eastAsia="en-US"/>
        </w:rPr>
        <w:t xml:space="preserve">cessione del credito </w:t>
      </w:r>
      <w:r w:rsidRPr="003210BD">
        <w:rPr>
          <w:rFonts w:ascii="Bookman Old Style" w:hAnsi="Bookman Old Style" w:cs="Arial"/>
          <w:color w:val="000000"/>
          <w:sz w:val="22"/>
          <w:szCs w:val="22"/>
          <w:lang w:eastAsia="en-US"/>
        </w:rPr>
        <w:t xml:space="preserve">corrispondente alla detrazione spettante </w:t>
      </w:r>
      <w:r w:rsidRPr="003210BD">
        <w:rPr>
          <w:rFonts w:ascii="Bookman Old Style" w:hAnsi="Bookman Old Style" w:cs="Arial"/>
          <w:bCs/>
          <w:color w:val="000000"/>
          <w:sz w:val="22"/>
          <w:szCs w:val="22"/>
          <w:lang w:eastAsia="en-US"/>
        </w:rPr>
        <w:t xml:space="preserve">può essere effettuata sia dai </w:t>
      </w:r>
      <w:r w:rsidRPr="003210BD">
        <w:rPr>
          <w:rFonts w:ascii="Bookman Old Style" w:hAnsi="Bookman Old Style" w:cs="Arial"/>
          <w:color w:val="000000"/>
          <w:sz w:val="22"/>
          <w:szCs w:val="22"/>
          <w:lang w:eastAsia="en-US"/>
        </w:rPr>
        <w:t>“</w:t>
      </w:r>
      <w:r w:rsidRPr="003210BD">
        <w:rPr>
          <w:rFonts w:ascii="Bookman Old Style" w:hAnsi="Bookman Old Style" w:cs="Arial"/>
          <w:bCs/>
          <w:color w:val="000000"/>
          <w:sz w:val="22"/>
          <w:szCs w:val="22"/>
          <w:lang w:eastAsia="en-US"/>
        </w:rPr>
        <w:t>soggetti capienti</w:t>
      </w:r>
      <w:r w:rsidRPr="003210BD">
        <w:rPr>
          <w:rFonts w:ascii="Bookman Old Style" w:hAnsi="Bookman Old Style" w:cs="Arial"/>
          <w:color w:val="000000"/>
          <w:sz w:val="22"/>
          <w:szCs w:val="22"/>
          <w:lang w:eastAsia="en-US"/>
        </w:rPr>
        <w:t xml:space="preserve">” </w:t>
      </w:r>
      <w:r w:rsidRPr="003210BD">
        <w:rPr>
          <w:rFonts w:ascii="Bookman Old Style" w:hAnsi="Bookman Old Style" w:cs="Arial"/>
          <w:bCs/>
          <w:color w:val="000000"/>
          <w:sz w:val="22"/>
          <w:szCs w:val="22"/>
          <w:lang w:eastAsia="en-US"/>
        </w:rPr>
        <w:t xml:space="preserve">che dai </w:t>
      </w:r>
      <w:r w:rsidRPr="003210BD">
        <w:rPr>
          <w:rFonts w:ascii="Bookman Old Style" w:hAnsi="Bookman Old Style" w:cs="Arial"/>
          <w:color w:val="000000"/>
          <w:sz w:val="22"/>
          <w:szCs w:val="22"/>
          <w:lang w:eastAsia="en-US"/>
        </w:rPr>
        <w:t>“</w:t>
      </w:r>
      <w:r w:rsidRPr="003210BD">
        <w:rPr>
          <w:rFonts w:ascii="Bookman Old Style" w:hAnsi="Bookman Old Style" w:cs="Arial"/>
          <w:bCs/>
          <w:color w:val="000000"/>
          <w:sz w:val="22"/>
          <w:szCs w:val="22"/>
          <w:lang w:eastAsia="en-US"/>
        </w:rPr>
        <w:t xml:space="preserve">soggetti </w:t>
      </w:r>
      <w:r w:rsidRPr="00A31490">
        <w:rPr>
          <w:rFonts w:ascii="Bookman Old Style" w:hAnsi="Bookman Old Style" w:cs="Arial"/>
          <w:bCs/>
          <w:color w:val="000000"/>
          <w:sz w:val="22"/>
          <w:szCs w:val="22"/>
          <w:lang w:eastAsia="en-US"/>
        </w:rPr>
        <w:t>incapienti</w:t>
      </w:r>
      <w:r w:rsidRPr="00A31490">
        <w:rPr>
          <w:rFonts w:ascii="Bookman Old Style" w:hAnsi="Bookman Old Style" w:cs="Arial"/>
          <w:color w:val="000000"/>
          <w:sz w:val="22"/>
          <w:szCs w:val="22"/>
          <w:lang w:eastAsia="en-US"/>
        </w:rPr>
        <w:t xml:space="preserve">” </w:t>
      </w:r>
      <w:r w:rsidRPr="00A31490">
        <w:rPr>
          <w:rFonts w:ascii="Bookman Old Style" w:hAnsi="Bookman Old Style" w:cs="Arial"/>
          <w:bCs/>
          <w:color w:val="000000"/>
          <w:sz w:val="22"/>
          <w:szCs w:val="22"/>
          <w:lang w:eastAsia="en-US"/>
        </w:rPr>
        <w:t>per tutte le tipologie di intervento di</w:t>
      </w:r>
      <w:r w:rsidRPr="003210BD">
        <w:rPr>
          <w:rFonts w:ascii="Bookman Old Style" w:hAnsi="Bookman Old Style" w:cs="Arial"/>
          <w:bCs/>
          <w:color w:val="000000"/>
          <w:sz w:val="22"/>
          <w:szCs w:val="22"/>
          <w:lang w:eastAsia="en-US"/>
        </w:rPr>
        <w:t xml:space="preserve"> riqualificazione energetica </w:t>
      </w:r>
      <w:r w:rsidRPr="003210BD">
        <w:rPr>
          <w:rFonts w:ascii="Bookman Old Style" w:hAnsi="Bookman Old Style" w:cs="Arial"/>
          <w:color w:val="000000"/>
          <w:sz w:val="22"/>
          <w:szCs w:val="22"/>
          <w:lang w:eastAsia="en-US"/>
        </w:rPr>
        <w:t>previste dall’art. 14, D.L. 63/2013.</w:t>
      </w:r>
    </w:p>
    <w:p w:rsidR="006649DC" w:rsidRPr="00A31490" w:rsidRDefault="006649DC" w:rsidP="003C2133">
      <w:pPr>
        <w:autoSpaceDE w:val="0"/>
        <w:autoSpaceDN w:val="0"/>
        <w:adjustRightInd w:val="0"/>
        <w:jc w:val="both"/>
        <w:rPr>
          <w:rFonts w:ascii="Bookman Old Style" w:hAnsi="Bookman Old Style" w:cs="Arial"/>
          <w:i/>
          <w:color w:val="000000"/>
          <w:sz w:val="22"/>
          <w:szCs w:val="22"/>
          <w:lang w:eastAsia="en-US"/>
        </w:rPr>
      </w:pPr>
    </w:p>
    <w:p w:rsidR="006649DC" w:rsidRPr="00A31490" w:rsidRDefault="006649DC" w:rsidP="003C2133">
      <w:pPr>
        <w:autoSpaceDE w:val="0"/>
        <w:autoSpaceDN w:val="0"/>
        <w:adjustRightInd w:val="0"/>
        <w:jc w:val="both"/>
        <w:rPr>
          <w:rFonts w:ascii="Bookman Old Style" w:hAnsi="Bookman Old Style" w:cs="Arial"/>
          <w:bCs/>
          <w:i/>
          <w:color w:val="000000"/>
          <w:sz w:val="22"/>
          <w:szCs w:val="22"/>
          <w:lang w:eastAsia="en-US"/>
        </w:rPr>
      </w:pPr>
      <w:r w:rsidRPr="00A31490">
        <w:rPr>
          <w:rFonts w:ascii="Bookman Old Style" w:hAnsi="Bookman Old Style" w:cs="Arial"/>
          <w:bCs/>
          <w:i/>
          <w:color w:val="000000"/>
          <w:sz w:val="22"/>
          <w:szCs w:val="22"/>
          <w:lang w:eastAsia="en-US"/>
        </w:rPr>
        <w:t>Interventi di recupero edilizio</w:t>
      </w:r>
    </w:p>
    <w:p w:rsidR="006649DC" w:rsidRDefault="006649DC" w:rsidP="003C2133">
      <w:pPr>
        <w:autoSpaceDE w:val="0"/>
        <w:autoSpaceDN w:val="0"/>
        <w:adjustRightInd w:val="0"/>
        <w:jc w:val="both"/>
        <w:rPr>
          <w:rFonts w:ascii="Bookman Old Style" w:hAnsi="Bookman Old Style" w:cs="Arial"/>
          <w:color w:val="000000"/>
          <w:sz w:val="22"/>
          <w:szCs w:val="22"/>
          <w:lang w:eastAsia="en-US"/>
        </w:rPr>
      </w:pPr>
      <w:r>
        <w:rPr>
          <w:rFonts w:ascii="Bookman Old Style" w:hAnsi="Bookman Old Style" w:cs="Arial"/>
          <w:color w:val="000000"/>
          <w:sz w:val="22"/>
          <w:szCs w:val="22"/>
          <w:lang w:eastAsia="en-US"/>
        </w:rPr>
        <w:t xml:space="preserve">Con la lett. b) del co. 3, L. </w:t>
      </w:r>
      <w:r w:rsidRPr="004863C2">
        <w:rPr>
          <w:rFonts w:ascii="Bookman Old Style" w:hAnsi="Bookman Old Style" w:cs="Arial"/>
          <w:sz w:val="22"/>
          <w:szCs w:val="22"/>
          <w:lang w:eastAsia="en-US"/>
        </w:rPr>
        <w:t>27.12.2017, n. 205</w:t>
      </w:r>
      <w:r>
        <w:rPr>
          <w:rFonts w:ascii="Bookman Old Style" w:hAnsi="Bookman Old Style" w:cs="Arial"/>
          <w:sz w:val="22"/>
          <w:szCs w:val="22"/>
          <w:lang w:eastAsia="en-US"/>
        </w:rPr>
        <w:t xml:space="preserve"> si modifica l’</w:t>
      </w:r>
      <w:r w:rsidRPr="00600F55">
        <w:rPr>
          <w:rFonts w:ascii="Bookman Old Style" w:hAnsi="Bookman Old Style" w:cs="Arial"/>
          <w:color w:val="000000"/>
          <w:sz w:val="22"/>
          <w:szCs w:val="22"/>
          <w:lang w:eastAsia="en-US"/>
        </w:rPr>
        <w:t xml:space="preserve">art. 16, </w:t>
      </w:r>
      <w:r>
        <w:rPr>
          <w:rFonts w:ascii="Bookman Old Style" w:hAnsi="Bookman Old Style" w:cs="Arial"/>
          <w:color w:val="000000"/>
          <w:sz w:val="22"/>
          <w:szCs w:val="22"/>
          <w:lang w:eastAsia="en-US"/>
        </w:rPr>
        <w:t>co.</w:t>
      </w:r>
      <w:r w:rsidRPr="00600F55">
        <w:rPr>
          <w:rFonts w:ascii="Bookman Old Style" w:hAnsi="Bookman Old Style" w:cs="Arial"/>
          <w:color w:val="000000"/>
          <w:sz w:val="22"/>
          <w:szCs w:val="22"/>
          <w:lang w:eastAsia="en-US"/>
        </w:rPr>
        <w:t xml:space="preserve"> 1, </w:t>
      </w:r>
      <w:r>
        <w:rPr>
          <w:rFonts w:ascii="Bookman Old Style" w:hAnsi="Bookman Old Style" w:cs="Arial"/>
          <w:color w:val="000000"/>
          <w:sz w:val="22"/>
          <w:szCs w:val="22"/>
          <w:lang w:eastAsia="en-US"/>
        </w:rPr>
        <w:t>D.L.</w:t>
      </w:r>
      <w:r w:rsidRPr="00600F55">
        <w:rPr>
          <w:rFonts w:ascii="Bookman Old Style" w:hAnsi="Bookman Old Style" w:cs="Arial"/>
          <w:color w:val="000000"/>
          <w:sz w:val="22"/>
          <w:szCs w:val="22"/>
          <w:lang w:eastAsia="en-US"/>
        </w:rPr>
        <w:t xml:space="preserve"> 63/2013, </w:t>
      </w:r>
      <w:r>
        <w:rPr>
          <w:rFonts w:ascii="Bookman Old Style" w:hAnsi="Bookman Old Style" w:cs="Arial"/>
          <w:color w:val="000000"/>
          <w:sz w:val="22"/>
          <w:szCs w:val="22"/>
          <w:lang w:eastAsia="en-US"/>
        </w:rPr>
        <w:t xml:space="preserve">al fine di </w:t>
      </w:r>
      <w:r w:rsidRPr="00600F55">
        <w:rPr>
          <w:rFonts w:ascii="Bookman Old Style" w:hAnsi="Bookman Old Style" w:cs="Arial"/>
          <w:color w:val="000000"/>
          <w:sz w:val="22"/>
          <w:szCs w:val="22"/>
          <w:lang w:eastAsia="en-US"/>
        </w:rPr>
        <w:t>proroga</w:t>
      </w:r>
      <w:r>
        <w:rPr>
          <w:rFonts w:ascii="Bookman Old Style" w:hAnsi="Bookman Old Style" w:cs="Arial"/>
          <w:color w:val="000000"/>
          <w:sz w:val="22"/>
          <w:szCs w:val="22"/>
          <w:lang w:eastAsia="en-US"/>
        </w:rPr>
        <w:t>re la detrazione di cui all’art. 16-bis, D.P.R. 917/1986 nella misura maggiorata (in termini percentuali e in termini di importo massimo di spesa).</w:t>
      </w:r>
    </w:p>
    <w:p w:rsidR="006649DC" w:rsidRPr="005D374D" w:rsidRDefault="006649DC" w:rsidP="003C2133">
      <w:pPr>
        <w:autoSpaceDE w:val="0"/>
        <w:autoSpaceDN w:val="0"/>
        <w:adjustRightInd w:val="0"/>
        <w:jc w:val="both"/>
        <w:rPr>
          <w:rFonts w:ascii="Bookman Old Style" w:hAnsi="Bookman Old Style" w:cs="Arial"/>
          <w:color w:val="000000"/>
          <w:sz w:val="22"/>
          <w:szCs w:val="22"/>
          <w:lang w:eastAsia="en-US"/>
        </w:rPr>
      </w:pPr>
      <w:r>
        <w:rPr>
          <w:rFonts w:ascii="Bookman Old Style" w:hAnsi="Bookman Old Style" w:cs="Arial"/>
          <w:color w:val="000000"/>
          <w:sz w:val="22"/>
          <w:szCs w:val="22"/>
          <w:lang w:eastAsia="en-US"/>
        </w:rPr>
        <w:t xml:space="preserve">In particolare, si prevede che per le </w:t>
      </w:r>
      <w:r w:rsidRPr="005D374D">
        <w:rPr>
          <w:rFonts w:ascii="Bookman Old Style" w:hAnsi="Bookman Old Style" w:cs="Arial"/>
          <w:bCs/>
          <w:color w:val="000000"/>
          <w:sz w:val="22"/>
          <w:szCs w:val="22"/>
          <w:lang w:eastAsia="en-US"/>
        </w:rPr>
        <w:t xml:space="preserve">spese sostenute fino al </w:t>
      </w:r>
      <w:r w:rsidRPr="005D374D">
        <w:rPr>
          <w:rFonts w:ascii="Bookman Old Style" w:hAnsi="Bookman Old Style" w:cs="Arial"/>
          <w:b/>
          <w:bCs/>
          <w:color w:val="000000"/>
          <w:sz w:val="22"/>
          <w:szCs w:val="22"/>
          <w:lang w:eastAsia="en-US"/>
        </w:rPr>
        <w:t>31.12.2018</w:t>
      </w:r>
      <w:r w:rsidRPr="005D374D">
        <w:rPr>
          <w:rFonts w:ascii="Bookman Old Style" w:hAnsi="Bookman Old Style" w:cs="Arial"/>
          <w:bCs/>
          <w:color w:val="000000"/>
          <w:sz w:val="22"/>
          <w:szCs w:val="22"/>
          <w:lang w:eastAsia="en-US"/>
        </w:rPr>
        <w:t xml:space="preserve"> </w:t>
      </w:r>
      <w:r>
        <w:rPr>
          <w:rFonts w:ascii="Bookman Old Style" w:hAnsi="Bookman Old Style" w:cs="Arial"/>
          <w:color w:val="000000"/>
          <w:sz w:val="22"/>
          <w:szCs w:val="22"/>
          <w:lang w:eastAsia="en-US"/>
        </w:rPr>
        <w:t>(anziché 31.12.2017) la</w:t>
      </w:r>
      <w:r w:rsidRPr="005D374D">
        <w:rPr>
          <w:rFonts w:ascii="Bookman Old Style" w:hAnsi="Bookman Old Style" w:cs="Arial"/>
          <w:color w:val="000000"/>
          <w:sz w:val="22"/>
          <w:szCs w:val="22"/>
          <w:lang w:eastAsia="en-US"/>
        </w:rPr>
        <w:t xml:space="preserve"> detrazione IRPEF per gli </w:t>
      </w:r>
      <w:r w:rsidRPr="005D374D">
        <w:rPr>
          <w:rFonts w:ascii="Bookman Old Style" w:hAnsi="Bookman Old Style" w:cs="Arial"/>
          <w:bCs/>
          <w:color w:val="000000"/>
          <w:sz w:val="22"/>
          <w:szCs w:val="22"/>
          <w:lang w:eastAsia="en-US"/>
        </w:rPr>
        <w:t xml:space="preserve">interventi di recupero del patrimonio edilizio </w:t>
      </w:r>
      <w:r>
        <w:rPr>
          <w:rFonts w:ascii="Bookman Old Style" w:hAnsi="Bookman Old Style" w:cs="Arial"/>
          <w:color w:val="000000"/>
          <w:sz w:val="22"/>
          <w:szCs w:val="22"/>
          <w:lang w:eastAsia="en-US"/>
        </w:rPr>
        <w:t>spetta</w:t>
      </w:r>
      <w:r w:rsidRPr="005D374D">
        <w:rPr>
          <w:rFonts w:ascii="Bookman Old Style" w:hAnsi="Bookman Old Style" w:cs="Arial"/>
          <w:color w:val="000000"/>
          <w:sz w:val="22"/>
          <w:szCs w:val="22"/>
          <w:lang w:eastAsia="en-US"/>
        </w:rPr>
        <w:t>:</w:t>
      </w:r>
    </w:p>
    <w:p w:rsidR="006649DC" w:rsidRPr="005D374D" w:rsidRDefault="006649DC" w:rsidP="003C2133">
      <w:pPr>
        <w:autoSpaceDE w:val="0"/>
        <w:autoSpaceDN w:val="0"/>
        <w:adjustRightInd w:val="0"/>
        <w:jc w:val="both"/>
        <w:rPr>
          <w:rFonts w:ascii="Bookman Old Style" w:hAnsi="Bookman Old Style" w:cs="Arial"/>
          <w:color w:val="000000"/>
          <w:sz w:val="22"/>
          <w:szCs w:val="22"/>
          <w:lang w:eastAsia="en-US"/>
        </w:rPr>
      </w:pPr>
      <w:r>
        <w:rPr>
          <w:rFonts w:ascii="Bookman Old Style" w:eastAsia="SymbolOOEnc" w:hAnsi="Bookman Old Style" w:cs="SymbolOOEnc"/>
          <w:color w:val="000000"/>
          <w:sz w:val="22"/>
          <w:szCs w:val="22"/>
          <w:lang w:eastAsia="en-US"/>
        </w:rPr>
        <w:t>-</w:t>
      </w:r>
      <w:r w:rsidRPr="005D374D">
        <w:rPr>
          <w:rFonts w:ascii="Bookman Old Style" w:eastAsia="SymbolOOEnc" w:hAnsi="Bookman Old Style" w:cs="SymbolOOEnc"/>
          <w:color w:val="000000"/>
          <w:sz w:val="22"/>
          <w:szCs w:val="22"/>
          <w:lang w:eastAsia="en-US"/>
        </w:rPr>
        <w:t xml:space="preserve"> </w:t>
      </w:r>
      <w:r w:rsidRPr="005D374D">
        <w:rPr>
          <w:rFonts w:ascii="Bookman Old Style" w:hAnsi="Bookman Old Style" w:cs="Arial"/>
          <w:color w:val="000000"/>
          <w:sz w:val="22"/>
          <w:szCs w:val="22"/>
          <w:lang w:eastAsia="en-US"/>
        </w:rPr>
        <w:t xml:space="preserve">nella misura del </w:t>
      </w:r>
      <w:r w:rsidRPr="005D374D">
        <w:rPr>
          <w:rFonts w:ascii="Bookman Old Style" w:hAnsi="Bookman Old Style" w:cs="Arial"/>
          <w:bCs/>
          <w:color w:val="000000"/>
          <w:sz w:val="22"/>
          <w:szCs w:val="22"/>
          <w:lang w:eastAsia="en-US"/>
        </w:rPr>
        <w:t xml:space="preserve">50% </w:t>
      </w:r>
      <w:r w:rsidRPr="005D374D">
        <w:rPr>
          <w:rFonts w:ascii="Bookman Old Style" w:hAnsi="Bookman Old Style" w:cs="Arial"/>
          <w:color w:val="000000"/>
          <w:sz w:val="22"/>
          <w:szCs w:val="22"/>
          <w:lang w:eastAsia="en-US"/>
        </w:rPr>
        <w:t>(anziché del 36%);</w:t>
      </w:r>
    </w:p>
    <w:p w:rsidR="006649DC" w:rsidRPr="005D374D" w:rsidRDefault="006649DC" w:rsidP="003C2133">
      <w:pPr>
        <w:autoSpaceDE w:val="0"/>
        <w:autoSpaceDN w:val="0"/>
        <w:adjustRightInd w:val="0"/>
        <w:jc w:val="both"/>
        <w:rPr>
          <w:rFonts w:ascii="Bookman Old Style" w:hAnsi="Bookman Old Style" w:cs="Arial"/>
          <w:color w:val="000000"/>
          <w:sz w:val="22"/>
          <w:szCs w:val="22"/>
          <w:lang w:eastAsia="en-US"/>
        </w:rPr>
      </w:pPr>
      <w:r>
        <w:rPr>
          <w:rFonts w:ascii="Bookman Old Style" w:eastAsia="SymbolOOEnc" w:hAnsi="Bookman Old Style" w:cs="SymbolOOEnc"/>
          <w:color w:val="000000"/>
          <w:sz w:val="22"/>
          <w:szCs w:val="22"/>
          <w:lang w:eastAsia="en-US"/>
        </w:rPr>
        <w:t>-</w:t>
      </w:r>
      <w:r w:rsidRPr="005D374D">
        <w:rPr>
          <w:rFonts w:ascii="Bookman Old Style" w:eastAsia="SymbolOOEnc" w:hAnsi="Bookman Old Style" w:cs="SymbolOOEnc"/>
          <w:color w:val="000000"/>
          <w:sz w:val="22"/>
          <w:szCs w:val="22"/>
          <w:lang w:eastAsia="en-US"/>
        </w:rPr>
        <w:t xml:space="preserve"> </w:t>
      </w:r>
      <w:r w:rsidRPr="005D374D">
        <w:rPr>
          <w:rFonts w:ascii="Bookman Old Style" w:hAnsi="Bookman Old Style" w:cs="Arial"/>
          <w:color w:val="000000"/>
          <w:sz w:val="22"/>
          <w:szCs w:val="22"/>
          <w:lang w:eastAsia="en-US"/>
        </w:rPr>
        <w:t xml:space="preserve">su un importo </w:t>
      </w:r>
      <w:r w:rsidRPr="005D374D">
        <w:rPr>
          <w:rFonts w:ascii="Bookman Old Style" w:hAnsi="Bookman Old Style" w:cs="Arial"/>
          <w:bCs/>
          <w:color w:val="000000"/>
          <w:sz w:val="22"/>
          <w:szCs w:val="22"/>
          <w:lang w:eastAsia="en-US"/>
        </w:rPr>
        <w:t>massimo di</w:t>
      </w:r>
      <w:r w:rsidRPr="005D374D">
        <w:rPr>
          <w:rFonts w:ascii="Bookman Old Style" w:hAnsi="Bookman Old Style" w:cs="Arial,Bold"/>
          <w:bCs/>
          <w:color w:val="000000"/>
          <w:sz w:val="22"/>
          <w:szCs w:val="22"/>
          <w:lang w:eastAsia="en-US"/>
        </w:rPr>
        <w:t xml:space="preserve"> </w:t>
      </w:r>
      <w:r w:rsidRPr="005D374D">
        <w:rPr>
          <w:rFonts w:ascii="Bookman Old Style" w:hAnsi="Bookman Old Style" w:cs="Arial"/>
          <w:bCs/>
          <w:color w:val="000000"/>
          <w:sz w:val="22"/>
          <w:szCs w:val="22"/>
          <w:lang w:eastAsia="en-US"/>
        </w:rPr>
        <w:t>96.000</w:t>
      </w:r>
      <w:r>
        <w:rPr>
          <w:rFonts w:ascii="Bookman Old Style" w:hAnsi="Bookman Old Style" w:cs="Arial"/>
          <w:bCs/>
          <w:color w:val="000000"/>
          <w:sz w:val="22"/>
          <w:szCs w:val="22"/>
          <w:lang w:eastAsia="en-US"/>
        </w:rPr>
        <w:t xml:space="preserve"> euro</w:t>
      </w:r>
      <w:r w:rsidRPr="005D374D">
        <w:rPr>
          <w:rFonts w:ascii="Bookman Old Style" w:hAnsi="Bookman Old Style" w:cs="Arial"/>
          <w:bCs/>
          <w:color w:val="000000"/>
          <w:sz w:val="22"/>
          <w:szCs w:val="22"/>
          <w:lang w:eastAsia="en-US"/>
        </w:rPr>
        <w:t xml:space="preserve"> </w:t>
      </w:r>
      <w:r w:rsidRPr="005D374D">
        <w:rPr>
          <w:rFonts w:ascii="Bookman Old Style" w:hAnsi="Bookman Old Style" w:cs="Arial"/>
          <w:color w:val="000000"/>
          <w:sz w:val="22"/>
          <w:szCs w:val="22"/>
          <w:lang w:eastAsia="en-US"/>
        </w:rPr>
        <w:t xml:space="preserve">(anziché </w:t>
      </w:r>
      <w:r>
        <w:rPr>
          <w:rFonts w:ascii="Bookman Old Style" w:hAnsi="Bookman Old Style" w:cs="Arial"/>
          <w:color w:val="000000"/>
          <w:sz w:val="22"/>
          <w:szCs w:val="22"/>
          <w:lang w:eastAsia="en-US"/>
        </w:rPr>
        <w:t xml:space="preserve">di </w:t>
      </w:r>
      <w:r w:rsidRPr="005D374D">
        <w:rPr>
          <w:rFonts w:ascii="Bookman Old Style" w:hAnsi="Bookman Old Style" w:cs="Arial"/>
          <w:color w:val="000000"/>
          <w:sz w:val="22"/>
          <w:szCs w:val="22"/>
          <w:lang w:eastAsia="en-US"/>
        </w:rPr>
        <w:t>48.000</w:t>
      </w:r>
      <w:r>
        <w:rPr>
          <w:rFonts w:ascii="Bookman Old Style" w:hAnsi="Bookman Old Style" w:cs="Arial"/>
          <w:color w:val="000000"/>
          <w:sz w:val="22"/>
          <w:szCs w:val="22"/>
          <w:lang w:eastAsia="en-US"/>
        </w:rPr>
        <w:t xml:space="preserve"> euro</w:t>
      </w:r>
      <w:r w:rsidRPr="005D374D">
        <w:rPr>
          <w:rFonts w:ascii="Bookman Old Style" w:hAnsi="Bookman Old Style" w:cs="Arial"/>
          <w:color w:val="000000"/>
          <w:sz w:val="22"/>
          <w:szCs w:val="22"/>
          <w:lang w:eastAsia="en-US"/>
        </w:rPr>
        <w:t>).</w:t>
      </w:r>
    </w:p>
    <w:p w:rsidR="006649DC" w:rsidRDefault="006649DC" w:rsidP="003C2133">
      <w:pPr>
        <w:autoSpaceDE w:val="0"/>
        <w:autoSpaceDN w:val="0"/>
        <w:adjustRightInd w:val="0"/>
        <w:jc w:val="both"/>
        <w:rPr>
          <w:rFonts w:ascii="Bookman Old Style" w:hAnsi="Bookman Old Style" w:cs="Arial"/>
          <w:color w:val="000000"/>
          <w:sz w:val="22"/>
          <w:szCs w:val="22"/>
          <w:lang w:eastAsia="en-US"/>
        </w:rPr>
      </w:pPr>
    </w:p>
    <w:p w:rsidR="006649DC" w:rsidRPr="00A31490" w:rsidRDefault="006649DC" w:rsidP="003C2133">
      <w:pPr>
        <w:autoSpaceDE w:val="0"/>
        <w:autoSpaceDN w:val="0"/>
        <w:adjustRightInd w:val="0"/>
        <w:jc w:val="both"/>
        <w:rPr>
          <w:rFonts w:ascii="Bookman Old Style" w:hAnsi="Bookman Old Style" w:cs="Arial"/>
          <w:bCs/>
          <w:i/>
          <w:color w:val="000000"/>
          <w:sz w:val="22"/>
          <w:szCs w:val="22"/>
          <w:lang w:eastAsia="en-US"/>
        </w:rPr>
      </w:pPr>
      <w:r>
        <w:rPr>
          <w:rFonts w:ascii="Bookman Old Style" w:hAnsi="Bookman Old Style" w:cs="Arial"/>
          <w:bCs/>
          <w:i/>
          <w:color w:val="000000"/>
          <w:sz w:val="22"/>
          <w:szCs w:val="22"/>
          <w:lang w:eastAsia="en-US"/>
        </w:rPr>
        <w:t>S</w:t>
      </w:r>
      <w:r w:rsidRPr="00A31490">
        <w:rPr>
          <w:rFonts w:ascii="Bookman Old Style" w:hAnsi="Bookman Old Style" w:cs="Arial"/>
          <w:bCs/>
          <w:i/>
          <w:color w:val="000000"/>
          <w:sz w:val="22"/>
          <w:szCs w:val="22"/>
          <w:lang w:eastAsia="en-US"/>
        </w:rPr>
        <w:t>isma bonus</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Pr>
          <w:rFonts w:ascii="Bookman Old Style" w:hAnsi="Bookman Old Style" w:cs="Arial"/>
          <w:color w:val="000000"/>
          <w:sz w:val="22"/>
          <w:szCs w:val="22"/>
          <w:lang w:eastAsia="en-US"/>
        </w:rPr>
        <w:t xml:space="preserve">Con la lett. b) del co. 3, L. </w:t>
      </w:r>
      <w:r w:rsidRPr="004863C2">
        <w:rPr>
          <w:rFonts w:ascii="Bookman Old Style" w:hAnsi="Bookman Old Style" w:cs="Arial"/>
          <w:sz w:val="22"/>
          <w:szCs w:val="22"/>
          <w:lang w:eastAsia="en-US"/>
        </w:rPr>
        <w:t>27.12.2017, n. 205</w:t>
      </w:r>
      <w:r>
        <w:rPr>
          <w:rFonts w:ascii="Bookman Old Style" w:hAnsi="Bookman Old Style" w:cs="Arial"/>
          <w:sz w:val="22"/>
          <w:szCs w:val="22"/>
          <w:lang w:eastAsia="en-US"/>
        </w:rPr>
        <w:t xml:space="preserve"> si interviene anche in relazione agli interventi relativi all’adozione </w:t>
      </w:r>
      <w:r w:rsidRPr="00A31490">
        <w:rPr>
          <w:rFonts w:ascii="Bookman Old Style" w:hAnsi="Bookman Old Style" w:cs="Arial"/>
          <w:sz w:val="22"/>
          <w:szCs w:val="22"/>
          <w:lang w:eastAsia="en-US"/>
        </w:rPr>
        <w:t>di misure antisismiche e alla messa in sicurezza statica degli edifici.</w:t>
      </w:r>
    </w:p>
    <w:p w:rsidR="006649DC" w:rsidRPr="00600F55" w:rsidRDefault="006649DC" w:rsidP="003C2133">
      <w:pPr>
        <w:autoSpaceDE w:val="0"/>
        <w:autoSpaceDN w:val="0"/>
        <w:adjustRightInd w:val="0"/>
        <w:jc w:val="both"/>
        <w:rPr>
          <w:rFonts w:ascii="Bookman Old Style" w:hAnsi="Bookman Old Style" w:cs="Arial"/>
          <w:color w:val="000000"/>
          <w:sz w:val="22"/>
          <w:szCs w:val="22"/>
          <w:lang w:eastAsia="en-US"/>
        </w:rPr>
      </w:pPr>
      <w:r w:rsidRPr="00A31490">
        <w:rPr>
          <w:rFonts w:ascii="Bookman Old Style" w:hAnsi="Bookman Old Style" w:cs="Arial"/>
          <w:color w:val="000000"/>
          <w:sz w:val="22"/>
          <w:szCs w:val="22"/>
          <w:lang w:eastAsia="en-US"/>
        </w:rPr>
        <w:t>Nello specifico, interviene una estensione soggettiva dei beneficiari, precisando che la detrazione prevista dai co. da 1-bis a 1-sexies del citato art. 16, D.L. 63/</w:t>
      </w:r>
      <w:r>
        <w:rPr>
          <w:rFonts w:ascii="Bookman Old Style" w:hAnsi="Bookman Old Style" w:cs="Arial"/>
          <w:color w:val="000000"/>
          <w:sz w:val="22"/>
          <w:szCs w:val="22"/>
          <w:lang w:eastAsia="en-US"/>
        </w:rPr>
        <w:t>2013</w:t>
      </w:r>
      <w:r w:rsidRPr="00600F55">
        <w:rPr>
          <w:rFonts w:ascii="Bookman Old Style" w:hAnsi="Bookman Old Style" w:cs="Arial"/>
          <w:color w:val="000000"/>
          <w:sz w:val="22"/>
          <w:szCs w:val="22"/>
          <w:lang w:eastAsia="en-US"/>
        </w:rPr>
        <w:t xml:space="preserve"> è fruibile anche da:</w:t>
      </w:r>
    </w:p>
    <w:p w:rsidR="006649DC" w:rsidRPr="009F6CF3" w:rsidRDefault="006649DC" w:rsidP="003C2133">
      <w:pPr>
        <w:autoSpaceDE w:val="0"/>
        <w:autoSpaceDN w:val="0"/>
        <w:adjustRightInd w:val="0"/>
        <w:jc w:val="both"/>
        <w:rPr>
          <w:rFonts w:ascii="Bookman Old Style" w:hAnsi="Bookman Old Style" w:cs="Arial"/>
          <w:color w:val="000000"/>
          <w:sz w:val="22"/>
          <w:szCs w:val="22"/>
          <w:lang w:eastAsia="en-US"/>
        </w:rPr>
      </w:pPr>
      <w:r>
        <w:rPr>
          <w:rFonts w:ascii="Bookman Old Style" w:eastAsia="SymbolOOEnc" w:hAnsi="Bookman Old Style" w:cs="SymbolOOEnc"/>
          <w:color w:val="000000"/>
          <w:sz w:val="22"/>
          <w:szCs w:val="22"/>
          <w:lang w:eastAsia="en-US"/>
        </w:rPr>
        <w:t>-</w:t>
      </w:r>
      <w:r w:rsidRPr="00600F55">
        <w:rPr>
          <w:rFonts w:ascii="Bookman Old Style" w:eastAsia="SymbolOOEnc" w:hAnsi="Bookman Old Style" w:cs="SymbolOOEnc"/>
          <w:color w:val="000000"/>
          <w:sz w:val="22"/>
          <w:szCs w:val="22"/>
          <w:lang w:eastAsia="en-US"/>
        </w:rPr>
        <w:t xml:space="preserve"> </w:t>
      </w:r>
      <w:r w:rsidRPr="009F6CF3">
        <w:rPr>
          <w:rFonts w:ascii="Bookman Old Style" w:hAnsi="Bookman Old Style" w:cs="Arial"/>
          <w:bCs/>
          <w:color w:val="000000"/>
          <w:sz w:val="22"/>
          <w:szCs w:val="22"/>
          <w:lang w:eastAsia="en-US"/>
        </w:rPr>
        <w:t>Istituti autonomi per le case popolari (IACP)</w:t>
      </w:r>
      <w:r w:rsidRPr="009F6CF3">
        <w:rPr>
          <w:rFonts w:ascii="Bookman Old Style" w:hAnsi="Bookman Old Style" w:cs="Arial"/>
          <w:color w:val="000000"/>
          <w:sz w:val="22"/>
          <w:szCs w:val="22"/>
          <w:lang w:eastAsia="en-US"/>
        </w:rPr>
        <w:t>, comunque denominati;</w:t>
      </w:r>
    </w:p>
    <w:p w:rsidR="006649DC" w:rsidRPr="00600F55" w:rsidRDefault="006649DC" w:rsidP="003C2133">
      <w:pPr>
        <w:autoSpaceDE w:val="0"/>
        <w:autoSpaceDN w:val="0"/>
        <w:adjustRightInd w:val="0"/>
        <w:jc w:val="both"/>
        <w:rPr>
          <w:rFonts w:ascii="Bookman Old Style" w:hAnsi="Bookman Old Style" w:cs="Arial"/>
          <w:color w:val="000000"/>
          <w:sz w:val="22"/>
          <w:szCs w:val="22"/>
          <w:lang w:eastAsia="en-US"/>
        </w:rPr>
      </w:pPr>
      <w:r w:rsidRPr="009F6CF3">
        <w:rPr>
          <w:rFonts w:ascii="Bookman Old Style" w:eastAsia="SymbolOOEnc" w:hAnsi="Bookman Old Style" w:cs="SymbolOOEnc"/>
          <w:color w:val="000000"/>
          <w:sz w:val="22"/>
          <w:szCs w:val="22"/>
          <w:lang w:eastAsia="en-US"/>
        </w:rPr>
        <w:t xml:space="preserve">- </w:t>
      </w:r>
      <w:r w:rsidRPr="009F6CF3">
        <w:rPr>
          <w:rFonts w:ascii="Bookman Old Style" w:hAnsi="Bookman Old Style" w:cs="Arial"/>
          <w:bCs/>
          <w:color w:val="000000"/>
          <w:sz w:val="22"/>
          <w:szCs w:val="22"/>
          <w:lang w:eastAsia="en-US"/>
        </w:rPr>
        <w:t xml:space="preserve">Enti aventi le stesse finalità sociali </w:t>
      </w:r>
      <w:r w:rsidRPr="009F6CF3">
        <w:rPr>
          <w:rFonts w:ascii="Bookman Old Style" w:hAnsi="Bookman Old Style" w:cs="Arial"/>
          <w:color w:val="000000"/>
          <w:sz w:val="22"/>
          <w:szCs w:val="22"/>
          <w:lang w:eastAsia="en-US"/>
        </w:rPr>
        <w:t xml:space="preserve">di detti Istituti, istituiti nella forma di </w:t>
      </w:r>
      <w:r w:rsidRPr="009F6CF3">
        <w:rPr>
          <w:rFonts w:ascii="Bookman Old Style" w:hAnsi="Bookman Old Style" w:cs="Arial"/>
          <w:bCs/>
          <w:color w:val="000000"/>
          <w:sz w:val="22"/>
          <w:szCs w:val="22"/>
          <w:lang w:eastAsia="en-US"/>
        </w:rPr>
        <w:t xml:space="preserve">società che rispondono ai requisiti europei in materia di </w:t>
      </w:r>
      <w:r w:rsidRPr="009F6CF3">
        <w:rPr>
          <w:rFonts w:ascii="Bookman Old Style" w:hAnsi="Bookman Old Style" w:cs="Arial"/>
          <w:i/>
          <w:iCs/>
          <w:color w:val="000000"/>
          <w:sz w:val="22"/>
          <w:szCs w:val="22"/>
          <w:lang w:eastAsia="en-US"/>
        </w:rPr>
        <w:t>“</w:t>
      </w:r>
      <w:r w:rsidRPr="009F6CF3">
        <w:rPr>
          <w:rFonts w:ascii="Bookman Old Style" w:hAnsi="Bookman Old Style" w:cs="Arial"/>
          <w:bCs/>
          <w:i/>
          <w:iCs/>
          <w:color w:val="000000"/>
          <w:sz w:val="22"/>
          <w:szCs w:val="22"/>
          <w:lang w:eastAsia="en-US"/>
        </w:rPr>
        <w:t>in house providing</w:t>
      </w:r>
      <w:r w:rsidRPr="009F6CF3">
        <w:rPr>
          <w:rFonts w:ascii="Bookman Old Style" w:hAnsi="Bookman Old Style" w:cs="Arial"/>
          <w:i/>
          <w:iCs/>
          <w:color w:val="000000"/>
          <w:sz w:val="22"/>
          <w:szCs w:val="22"/>
          <w:lang w:eastAsia="en-US"/>
        </w:rPr>
        <w:t xml:space="preserve">” </w:t>
      </w:r>
      <w:r w:rsidRPr="009F6CF3">
        <w:rPr>
          <w:rFonts w:ascii="Bookman Old Style" w:hAnsi="Bookman Old Style" w:cs="Arial"/>
          <w:bCs/>
          <w:color w:val="000000"/>
          <w:sz w:val="22"/>
          <w:szCs w:val="22"/>
          <w:lang w:eastAsia="en-US"/>
        </w:rPr>
        <w:t>costituiti ed operanti al 31.12.2013</w:t>
      </w:r>
      <w:r w:rsidRPr="009F6CF3">
        <w:rPr>
          <w:rFonts w:ascii="Bookman Old Style" w:hAnsi="Bookman Old Style" w:cs="Arial"/>
          <w:color w:val="000000"/>
          <w:sz w:val="22"/>
          <w:szCs w:val="22"/>
          <w:lang w:eastAsia="en-US"/>
        </w:rPr>
        <w:t>. Detti</w:t>
      </w:r>
      <w:r w:rsidRPr="00600F55">
        <w:rPr>
          <w:rFonts w:ascii="Bookman Old Style" w:hAnsi="Bookman Old Style" w:cs="Arial"/>
          <w:color w:val="000000"/>
          <w:sz w:val="22"/>
          <w:szCs w:val="22"/>
          <w:lang w:eastAsia="en-US"/>
        </w:rPr>
        <w:t xml:space="preserve"> soggetti possono fruire della detrazione se gli interventi agevolati sono effettuati</w:t>
      </w:r>
      <w:r>
        <w:rPr>
          <w:rFonts w:ascii="Bookman Old Style" w:hAnsi="Bookman Old Style" w:cs="Arial"/>
          <w:color w:val="000000"/>
          <w:sz w:val="22"/>
          <w:szCs w:val="22"/>
          <w:lang w:eastAsia="en-US"/>
        </w:rPr>
        <w:t xml:space="preserve"> </w:t>
      </w:r>
      <w:r w:rsidRPr="00600F55">
        <w:rPr>
          <w:rFonts w:ascii="Bookman Old Style" w:hAnsi="Bookman Old Style" w:cs="Arial"/>
          <w:color w:val="000000"/>
          <w:sz w:val="22"/>
          <w:szCs w:val="22"/>
          <w:lang w:eastAsia="en-US"/>
        </w:rPr>
        <w:t>su immobili di proprietà, ovvero gestiti per conto del Comune, adibiti ad edilizia residenziale</w:t>
      </w:r>
      <w:r>
        <w:rPr>
          <w:rFonts w:ascii="Bookman Old Style" w:hAnsi="Bookman Old Style" w:cs="Arial"/>
          <w:color w:val="000000"/>
          <w:sz w:val="22"/>
          <w:szCs w:val="22"/>
          <w:lang w:eastAsia="en-US"/>
        </w:rPr>
        <w:t xml:space="preserve"> </w:t>
      </w:r>
      <w:r w:rsidRPr="00600F55">
        <w:rPr>
          <w:rFonts w:ascii="Bookman Old Style" w:hAnsi="Bookman Old Style" w:cs="Arial"/>
          <w:color w:val="000000"/>
          <w:sz w:val="22"/>
          <w:szCs w:val="22"/>
          <w:lang w:eastAsia="en-US"/>
        </w:rPr>
        <w:t>pubblica;</w:t>
      </w:r>
    </w:p>
    <w:p w:rsidR="006649DC" w:rsidRDefault="006649DC" w:rsidP="003C2133">
      <w:pPr>
        <w:autoSpaceDE w:val="0"/>
        <w:autoSpaceDN w:val="0"/>
        <w:adjustRightInd w:val="0"/>
        <w:jc w:val="both"/>
        <w:rPr>
          <w:rFonts w:ascii="Bookman Old Style" w:hAnsi="Bookman Old Style" w:cs="Arial"/>
          <w:color w:val="000000"/>
          <w:sz w:val="22"/>
          <w:szCs w:val="22"/>
          <w:lang w:eastAsia="en-US"/>
        </w:rPr>
      </w:pPr>
      <w:r>
        <w:rPr>
          <w:rFonts w:ascii="Bookman Old Style" w:eastAsia="SymbolOOEnc" w:hAnsi="Bookman Old Style" w:cs="SymbolOOEnc"/>
          <w:color w:val="000000"/>
          <w:sz w:val="22"/>
          <w:szCs w:val="22"/>
          <w:lang w:eastAsia="en-US"/>
        </w:rPr>
        <w:t>-</w:t>
      </w:r>
      <w:r w:rsidRPr="00600F55">
        <w:rPr>
          <w:rFonts w:ascii="Bookman Old Style" w:eastAsia="SymbolOOEnc" w:hAnsi="Bookman Old Style" w:cs="SymbolOOEnc"/>
          <w:color w:val="000000"/>
          <w:sz w:val="22"/>
          <w:szCs w:val="22"/>
          <w:lang w:eastAsia="en-US"/>
        </w:rPr>
        <w:t xml:space="preserve"> </w:t>
      </w:r>
      <w:r w:rsidRPr="009F6CF3">
        <w:rPr>
          <w:rFonts w:ascii="Bookman Old Style" w:hAnsi="Bookman Old Style" w:cs="Arial"/>
          <w:bCs/>
          <w:color w:val="000000"/>
          <w:sz w:val="22"/>
          <w:szCs w:val="22"/>
          <w:lang w:eastAsia="en-US"/>
        </w:rPr>
        <w:t>cooperative di abitazione a proprietà indivisa</w:t>
      </w:r>
      <w:r w:rsidRPr="00600F55">
        <w:rPr>
          <w:rFonts w:ascii="Bookman Old Style" w:hAnsi="Bookman Old Style" w:cs="Arial"/>
          <w:b/>
          <w:bCs/>
          <w:color w:val="000000"/>
          <w:sz w:val="22"/>
          <w:szCs w:val="22"/>
          <w:lang w:eastAsia="en-US"/>
        </w:rPr>
        <w:t xml:space="preserve"> </w:t>
      </w:r>
      <w:r w:rsidRPr="00600F55">
        <w:rPr>
          <w:rFonts w:ascii="Bookman Old Style" w:hAnsi="Bookman Old Style" w:cs="Arial"/>
          <w:color w:val="000000"/>
          <w:sz w:val="22"/>
          <w:szCs w:val="22"/>
          <w:lang w:eastAsia="en-US"/>
        </w:rPr>
        <w:t>per interventi realizzati su immobili dalle stesse</w:t>
      </w:r>
      <w:r>
        <w:rPr>
          <w:rFonts w:ascii="Bookman Old Style" w:hAnsi="Bookman Old Style" w:cs="Arial"/>
          <w:color w:val="000000"/>
          <w:sz w:val="22"/>
          <w:szCs w:val="22"/>
          <w:lang w:eastAsia="en-US"/>
        </w:rPr>
        <w:t xml:space="preserve"> </w:t>
      </w:r>
      <w:r w:rsidRPr="00600F55">
        <w:rPr>
          <w:rFonts w:ascii="Bookman Old Style" w:hAnsi="Bookman Old Style" w:cs="Arial"/>
          <w:color w:val="000000"/>
          <w:sz w:val="22"/>
          <w:szCs w:val="22"/>
          <w:lang w:eastAsia="en-US"/>
        </w:rPr>
        <w:t>posseduti e assegnati in godimento ai soci.</w:t>
      </w:r>
    </w:p>
    <w:p w:rsidR="006649DC" w:rsidRPr="00600F55" w:rsidRDefault="006649DC" w:rsidP="003C2133">
      <w:pPr>
        <w:autoSpaceDE w:val="0"/>
        <w:autoSpaceDN w:val="0"/>
        <w:adjustRightInd w:val="0"/>
        <w:jc w:val="both"/>
        <w:rPr>
          <w:rFonts w:ascii="Bookman Old Style" w:hAnsi="Bookman Old Style" w:cs="Arial"/>
          <w:color w:val="000000"/>
          <w:sz w:val="22"/>
          <w:szCs w:val="22"/>
          <w:lang w:eastAsia="en-US"/>
        </w:rPr>
      </w:pPr>
    </w:p>
    <w:p w:rsidR="006649DC" w:rsidRPr="00A31490" w:rsidRDefault="006649DC" w:rsidP="003C2133">
      <w:pPr>
        <w:autoSpaceDE w:val="0"/>
        <w:autoSpaceDN w:val="0"/>
        <w:adjustRightInd w:val="0"/>
        <w:jc w:val="both"/>
        <w:rPr>
          <w:rFonts w:ascii="Bookman Old Style" w:hAnsi="Bookman Old Style" w:cs="Arial"/>
          <w:bCs/>
          <w:i/>
          <w:color w:val="000000"/>
          <w:sz w:val="22"/>
          <w:szCs w:val="22"/>
          <w:lang w:eastAsia="en-US"/>
        </w:rPr>
      </w:pPr>
      <w:r>
        <w:rPr>
          <w:rFonts w:ascii="Bookman Old Style" w:hAnsi="Bookman Old Style" w:cs="Arial"/>
          <w:bCs/>
          <w:i/>
          <w:color w:val="000000"/>
          <w:sz w:val="22"/>
          <w:szCs w:val="22"/>
          <w:lang w:eastAsia="en-US"/>
        </w:rPr>
        <w:t>B</w:t>
      </w:r>
      <w:r w:rsidRPr="00A31490">
        <w:rPr>
          <w:rFonts w:ascii="Bookman Old Style" w:hAnsi="Bookman Old Style" w:cs="Arial"/>
          <w:bCs/>
          <w:i/>
          <w:color w:val="000000"/>
          <w:sz w:val="22"/>
          <w:szCs w:val="22"/>
          <w:lang w:eastAsia="en-US"/>
        </w:rPr>
        <w:t>onus mobili ed elettrodomestici</w:t>
      </w:r>
    </w:p>
    <w:p w:rsidR="006649DC" w:rsidRPr="00A31490" w:rsidRDefault="006649DC" w:rsidP="003C2133">
      <w:pPr>
        <w:autoSpaceDE w:val="0"/>
        <w:autoSpaceDN w:val="0"/>
        <w:adjustRightInd w:val="0"/>
        <w:jc w:val="both"/>
        <w:rPr>
          <w:rFonts w:ascii="Bookman Old Style" w:hAnsi="Bookman Old Style" w:cs="Arial"/>
          <w:color w:val="000000"/>
          <w:sz w:val="22"/>
          <w:szCs w:val="22"/>
          <w:lang w:eastAsia="en-US"/>
        </w:rPr>
      </w:pPr>
      <w:r>
        <w:rPr>
          <w:rFonts w:ascii="Bookman Old Style" w:hAnsi="Bookman Old Style" w:cs="Arial"/>
          <w:color w:val="000000"/>
          <w:sz w:val="22"/>
          <w:szCs w:val="22"/>
          <w:lang w:eastAsia="en-US"/>
        </w:rPr>
        <w:t xml:space="preserve">Con </w:t>
      </w:r>
      <w:r w:rsidRPr="009F6CF3">
        <w:rPr>
          <w:rFonts w:ascii="Bookman Old Style" w:hAnsi="Bookman Old Style" w:cs="Arial"/>
          <w:color w:val="000000"/>
          <w:sz w:val="22"/>
          <w:szCs w:val="22"/>
          <w:lang w:eastAsia="en-US"/>
        </w:rPr>
        <w:t xml:space="preserve">la lett. b) del co. 3, L. </w:t>
      </w:r>
      <w:r w:rsidRPr="009F6CF3">
        <w:rPr>
          <w:rFonts w:ascii="Bookman Old Style" w:hAnsi="Bookman Old Style" w:cs="Arial"/>
          <w:sz w:val="22"/>
          <w:szCs w:val="22"/>
          <w:lang w:eastAsia="en-US"/>
        </w:rPr>
        <w:t xml:space="preserve">27.12.2017, n. 205 si </w:t>
      </w:r>
      <w:r w:rsidRPr="00A31490">
        <w:rPr>
          <w:rFonts w:ascii="Bookman Old Style" w:hAnsi="Bookman Old Style" w:cs="Arial"/>
          <w:sz w:val="22"/>
          <w:szCs w:val="22"/>
          <w:lang w:eastAsia="en-US"/>
        </w:rPr>
        <w:t xml:space="preserve">stabilisce la proroga </w:t>
      </w:r>
      <w:r w:rsidRPr="00A31490">
        <w:rPr>
          <w:rFonts w:ascii="Bookman Old Style" w:hAnsi="Bookman Old Style" w:cs="Arial"/>
          <w:bCs/>
          <w:color w:val="000000"/>
          <w:sz w:val="22"/>
          <w:szCs w:val="22"/>
          <w:lang w:eastAsia="en-US"/>
        </w:rPr>
        <w:t xml:space="preserve">fino al 31.12.2018 </w:t>
      </w:r>
      <w:r w:rsidRPr="00A31490">
        <w:rPr>
          <w:rFonts w:ascii="Bookman Old Style" w:hAnsi="Bookman Old Style" w:cs="Arial"/>
          <w:color w:val="000000"/>
          <w:sz w:val="22"/>
          <w:szCs w:val="22"/>
          <w:lang w:eastAsia="en-US"/>
        </w:rPr>
        <w:t xml:space="preserve">della </w:t>
      </w:r>
      <w:r w:rsidRPr="00A31490">
        <w:rPr>
          <w:rFonts w:ascii="Bookman Old Style" w:hAnsi="Bookman Old Style" w:cs="Arial"/>
          <w:bCs/>
          <w:color w:val="000000"/>
          <w:sz w:val="22"/>
          <w:szCs w:val="22"/>
          <w:lang w:eastAsia="en-US"/>
        </w:rPr>
        <w:t xml:space="preserve">detrazione IRPEF del 50% </w:t>
      </w:r>
      <w:r w:rsidRPr="00A31490">
        <w:rPr>
          <w:rFonts w:ascii="Bookman Old Style" w:hAnsi="Bookman Old Style" w:cs="Arial"/>
          <w:color w:val="000000"/>
          <w:sz w:val="22"/>
          <w:szCs w:val="22"/>
          <w:lang w:eastAsia="en-US"/>
        </w:rPr>
        <w:t xml:space="preserve">prevista a favore dei soggetti che sostengono </w:t>
      </w:r>
      <w:r w:rsidRPr="00A31490">
        <w:rPr>
          <w:rFonts w:ascii="Bookman Old Style" w:hAnsi="Bookman Old Style" w:cs="Arial"/>
          <w:bCs/>
          <w:color w:val="000000"/>
          <w:sz w:val="22"/>
          <w:szCs w:val="22"/>
          <w:lang w:eastAsia="en-US"/>
        </w:rPr>
        <w:t xml:space="preserve">spese per l’acquisto di mobili / grandi elettrodomestici </w:t>
      </w:r>
      <w:r w:rsidRPr="00A31490">
        <w:rPr>
          <w:rFonts w:ascii="Bookman Old Style" w:hAnsi="Bookman Old Style" w:cs="Arial"/>
          <w:color w:val="000000"/>
          <w:sz w:val="22"/>
          <w:szCs w:val="22"/>
          <w:lang w:eastAsia="en-US"/>
        </w:rPr>
        <w:t>rientranti nella categoria A+ (A per i forni) finalizzati all’</w:t>
      </w:r>
      <w:r w:rsidRPr="00A31490">
        <w:rPr>
          <w:rFonts w:ascii="Bookman Old Style" w:hAnsi="Bookman Old Style" w:cs="Arial"/>
          <w:bCs/>
          <w:color w:val="000000"/>
          <w:sz w:val="22"/>
          <w:szCs w:val="22"/>
          <w:lang w:eastAsia="en-US"/>
        </w:rPr>
        <w:t>arredo dell’immobile oggetto di interventi di recupero del patrimonio edilizio</w:t>
      </w:r>
      <w:r w:rsidRPr="00A31490">
        <w:rPr>
          <w:rFonts w:ascii="Bookman Old Style" w:hAnsi="Bookman Old Style" w:cs="Arial"/>
          <w:color w:val="000000"/>
          <w:sz w:val="22"/>
          <w:szCs w:val="22"/>
          <w:lang w:eastAsia="en-US"/>
        </w:rPr>
        <w:t>, per il quale si fruisce della relativa detrazione.</w:t>
      </w:r>
    </w:p>
    <w:p w:rsidR="006649DC" w:rsidRPr="00A31490" w:rsidRDefault="006649DC" w:rsidP="003C2133">
      <w:pPr>
        <w:autoSpaceDE w:val="0"/>
        <w:autoSpaceDN w:val="0"/>
        <w:adjustRightInd w:val="0"/>
        <w:jc w:val="both"/>
        <w:rPr>
          <w:rFonts w:ascii="Bookman Old Style" w:hAnsi="Bookman Old Style" w:cs="Arial"/>
          <w:color w:val="000000"/>
          <w:sz w:val="22"/>
          <w:szCs w:val="22"/>
          <w:lang w:eastAsia="en-US"/>
        </w:rPr>
      </w:pPr>
      <w:r w:rsidRPr="00A31490">
        <w:rPr>
          <w:rFonts w:ascii="Bookman Old Style" w:hAnsi="Bookman Old Style" w:cs="Arial"/>
          <w:color w:val="000000"/>
          <w:sz w:val="22"/>
          <w:szCs w:val="22"/>
          <w:lang w:eastAsia="en-US"/>
        </w:rPr>
        <w:t xml:space="preserve">Per poter fruire della detrazione relativamente alle </w:t>
      </w:r>
      <w:r w:rsidRPr="00A31490">
        <w:rPr>
          <w:rFonts w:ascii="Bookman Old Style" w:hAnsi="Bookman Old Style" w:cs="Arial"/>
          <w:bCs/>
          <w:color w:val="000000"/>
          <w:sz w:val="22"/>
          <w:szCs w:val="22"/>
          <w:lang w:eastAsia="en-US"/>
        </w:rPr>
        <w:t xml:space="preserve">spese sostenute nel 2018 </w:t>
      </w:r>
      <w:r w:rsidRPr="00A31490">
        <w:rPr>
          <w:rFonts w:ascii="Bookman Old Style" w:hAnsi="Bookman Old Style" w:cs="Arial"/>
          <w:color w:val="000000"/>
          <w:sz w:val="22"/>
          <w:szCs w:val="22"/>
          <w:lang w:eastAsia="en-US"/>
        </w:rPr>
        <w:t xml:space="preserve">è necessario che i </w:t>
      </w:r>
      <w:r w:rsidRPr="00A31490">
        <w:rPr>
          <w:rFonts w:ascii="Bookman Old Style" w:hAnsi="Bookman Old Style" w:cs="Arial"/>
          <w:bCs/>
          <w:color w:val="000000"/>
          <w:sz w:val="22"/>
          <w:szCs w:val="22"/>
          <w:lang w:eastAsia="en-US"/>
        </w:rPr>
        <w:t>lavori di recupero edilizio siano iniziati a decorrere dall’1.1.2017</w:t>
      </w:r>
      <w:r w:rsidRPr="00A31490">
        <w:rPr>
          <w:rFonts w:ascii="Bookman Old Style" w:hAnsi="Bookman Old Style" w:cs="Arial"/>
          <w:color w:val="000000"/>
          <w:sz w:val="22"/>
          <w:szCs w:val="22"/>
          <w:lang w:eastAsia="en-US"/>
        </w:rPr>
        <w:t>.</w:t>
      </w:r>
    </w:p>
    <w:p w:rsidR="006649DC" w:rsidRPr="00A31490" w:rsidRDefault="006649DC" w:rsidP="003C2133">
      <w:pPr>
        <w:autoSpaceDE w:val="0"/>
        <w:autoSpaceDN w:val="0"/>
        <w:adjustRightInd w:val="0"/>
        <w:jc w:val="both"/>
        <w:rPr>
          <w:rFonts w:ascii="Bookman Old Style" w:hAnsi="Bookman Old Style" w:cs="Arial"/>
          <w:color w:val="000000"/>
          <w:sz w:val="22"/>
          <w:szCs w:val="22"/>
          <w:lang w:eastAsia="en-US"/>
        </w:rPr>
      </w:pPr>
      <w:r w:rsidRPr="00A31490">
        <w:rPr>
          <w:rFonts w:ascii="Bookman Old Style" w:hAnsi="Bookman Old Style" w:cs="Arial"/>
          <w:color w:val="000000"/>
          <w:sz w:val="22"/>
          <w:szCs w:val="22"/>
          <w:lang w:eastAsia="en-US"/>
        </w:rPr>
        <w:t>Come in passato la detrazione è fruibile in 10 quote annuali e l’ammontare della spesa detraibile (massimo 10.000 euro) è computata indipendentemente dall’importo delle spese sostenute per i lavori di recupero del patrimonio edilizio.</w:t>
      </w:r>
    </w:p>
    <w:p w:rsidR="006649DC" w:rsidRPr="009F6CF3" w:rsidRDefault="006649DC" w:rsidP="003C2133">
      <w:pPr>
        <w:autoSpaceDE w:val="0"/>
        <w:autoSpaceDN w:val="0"/>
        <w:adjustRightInd w:val="0"/>
        <w:jc w:val="both"/>
        <w:rPr>
          <w:rFonts w:ascii="Bookman Old Style" w:hAnsi="Bookman Old Style" w:cs="Arial"/>
          <w:color w:val="000000"/>
          <w:sz w:val="22"/>
          <w:szCs w:val="22"/>
          <w:lang w:eastAsia="en-US"/>
        </w:rPr>
      </w:pPr>
      <w:r w:rsidRPr="00A31490">
        <w:rPr>
          <w:rFonts w:ascii="Bookman Old Style" w:hAnsi="Bookman Old Style" w:cs="Arial"/>
          <w:color w:val="000000"/>
          <w:sz w:val="22"/>
          <w:szCs w:val="22"/>
          <w:lang w:eastAsia="en-US"/>
        </w:rPr>
        <w:t xml:space="preserve">Con l’introduzione del </w:t>
      </w:r>
      <w:r w:rsidRPr="00A31490">
        <w:rPr>
          <w:rFonts w:ascii="Bookman Old Style" w:hAnsi="Bookman Old Style" w:cs="Arial"/>
          <w:bCs/>
          <w:color w:val="000000"/>
          <w:sz w:val="22"/>
          <w:szCs w:val="22"/>
          <w:lang w:eastAsia="en-US"/>
        </w:rPr>
        <w:t xml:space="preserve">nuovo co. 2-bis </w:t>
      </w:r>
      <w:r w:rsidRPr="00A31490">
        <w:rPr>
          <w:rFonts w:ascii="Bookman Old Style" w:hAnsi="Bookman Old Style" w:cs="Arial"/>
          <w:color w:val="000000"/>
          <w:sz w:val="22"/>
          <w:szCs w:val="22"/>
          <w:lang w:eastAsia="en-US"/>
        </w:rPr>
        <w:t xml:space="preserve">all’art. 16, D.L. 63/2013 è previsto che anche in tali casi </w:t>
      </w:r>
      <w:r w:rsidRPr="00A31490">
        <w:rPr>
          <w:rFonts w:ascii="Bookman Old Style" w:hAnsi="Bookman Old Style" w:cs="Arial"/>
          <w:bCs/>
          <w:color w:val="000000"/>
          <w:sz w:val="22"/>
          <w:szCs w:val="22"/>
          <w:lang w:eastAsia="en-US"/>
        </w:rPr>
        <w:t>le informazioni relative agli interventi effettuati vanno trasmesse all’ENEA</w:t>
      </w:r>
      <w:r w:rsidRPr="00A31490">
        <w:rPr>
          <w:rFonts w:ascii="Bookman Old Style" w:hAnsi="Bookman Old Style" w:cs="Arial"/>
          <w:color w:val="000000"/>
          <w:sz w:val="22"/>
          <w:szCs w:val="22"/>
          <w:lang w:eastAsia="en-US"/>
        </w:rPr>
        <w:t>.</w:t>
      </w:r>
    </w:p>
    <w:p w:rsidR="006649DC" w:rsidRPr="009F6CF3" w:rsidRDefault="006649DC" w:rsidP="003C2133">
      <w:pPr>
        <w:autoSpaceDE w:val="0"/>
        <w:autoSpaceDN w:val="0"/>
        <w:adjustRightInd w:val="0"/>
        <w:jc w:val="both"/>
        <w:rPr>
          <w:rFonts w:ascii="Bookman Old Style" w:hAnsi="Bookman Old Style" w:cs="Arial"/>
          <w:color w:val="000000"/>
          <w:sz w:val="22"/>
          <w:szCs w:val="22"/>
          <w:lang w:eastAsia="en-US"/>
        </w:rPr>
      </w:pPr>
    </w:p>
    <w:p w:rsidR="006649DC" w:rsidRPr="00A31490" w:rsidRDefault="006649DC" w:rsidP="003C2133">
      <w:pPr>
        <w:autoSpaceDE w:val="0"/>
        <w:autoSpaceDN w:val="0"/>
        <w:adjustRightInd w:val="0"/>
        <w:jc w:val="both"/>
        <w:rPr>
          <w:rFonts w:ascii="Bookman Old Style" w:hAnsi="Bookman Old Style" w:cs="Arial"/>
          <w:bCs/>
          <w:i/>
          <w:color w:val="000000"/>
          <w:sz w:val="22"/>
          <w:szCs w:val="22"/>
          <w:lang w:eastAsia="en-US"/>
        </w:rPr>
      </w:pPr>
      <w:r w:rsidRPr="00A31490">
        <w:rPr>
          <w:rFonts w:ascii="Bookman Old Style" w:hAnsi="Bookman Old Style" w:cs="Arial"/>
          <w:bCs/>
          <w:i/>
          <w:color w:val="000000"/>
          <w:sz w:val="22"/>
          <w:szCs w:val="22"/>
          <w:lang w:eastAsia="en-US"/>
        </w:rPr>
        <w:t>Bonus verde</w:t>
      </w:r>
    </w:p>
    <w:p w:rsidR="006649DC" w:rsidRPr="00A31490" w:rsidRDefault="006649DC" w:rsidP="003C2133">
      <w:pPr>
        <w:autoSpaceDE w:val="0"/>
        <w:autoSpaceDN w:val="0"/>
        <w:adjustRightInd w:val="0"/>
        <w:jc w:val="both"/>
        <w:rPr>
          <w:rFonts w:ascii="Bookman Old Style" w:hAnsi="Bookman Old Style" w:cs="Arial"/>
          <w:color w:val="000000"/>
          <w:sz w:val="22"/>
          <w:szCs w:val="22"/>
          <w:lang w:eastAsia="en-US"/>
        </w:rPr>
      </w:pPr>
      <w:r>
        <w:rPr>
          <w:rFonts w:ascii="Bookman Old Style" w:hAnsi="Bookman Old Style" w:cs="Arial"/>
          <w:color w:val="000000"/>
          <w:sz w:val="22"/>
          <w:szCs w:val="22"/>
          <w:lang w:eastAsia="en-US"/>
        </w:rPr>
        <w:t>I co</w:t>
      </w:r>
      <w:r w:rsidRPr="004714BB">
        <w:rPr>
          <w:rFonts w:ascii="Bookman Old Style" w:hAnsi="Bookman Old Style" w:cs="Arial"/>
          <w:color w:val="000000"/>
          <w:sz w:val="22"/>
          <w:szCs w:val="22"/>
          <w:lang w:eastAsia="en-US"/>
        </w:rPr>
        <w:t xml:space="preserve">. da 12 a 15, L. </w:t>
      </w:r>
      <w:r w:rsidRPr="004714BB">
        <w:rPr>
          <w:rFonts w:ascii="Bookman Old Style" w:hAnsi="Bookman Old Style" w:cs="Arial"/>
          <w:sz w:val="22"/>
          <w:szCs w:val="22"/>
          <w:lang w:eastAsia="en-US"/>
        </w:rPr>
        <w:t xml:space="preserve">27.12.2017, n. </w:t>
      </w:r>
      <w:r w:rsidRPr="00A31490">
        <w:rPr>
          <w:rFonts w:ascii="Bookman Old Style" w:hAnsi="Bookman Old Style" w:cs="Arial"/>
          <w:sz w:val="22"/>
          <w:szCs w:val="22"/>
          <w:lang w:eastAsia="en-US"/>
        </w:rPr>
        <w:t xml:space="preserve">205 introducono – dall’ 1.1.2018 – </w:t>
      </w:r>
      <w:r w:rsidRPr="00A31490">
        <w:rPr>
          <w:rFonts w:ascii="Bookman Old Style" w:hAnsi="Bookman Old Style" w:cs="Arial"/>
          <w:color w:val="000000"/>
          <w:sz w:val="22"/>
          <w:szCs w:val="22"/>
          <w:lang w:eastAsia="en-US"/>
        </w:rPr>
        <w:t xml:space="preserve">di una </w:t>
      </w:r>
      <w:r w:rsidRPr="00A31490">
        <w:rPr>
          <w:rFonts w:ascii="Bookman Old Style" w:hAnsi="Bookman Old Style" w:cs="Arial"/>
          <w:bCs/>
          <w:color w:val="000000"/>
          <w:sz w:val="22"/>
          <w:szCs w:val="22"/>
          <w:lang w:eastAsia="en-US"/>
        </w:rPr>
        <w:t>nuova detrazione IRPEF</w:t>
      </w:r>
      <w:r w:rsidRPr="00A31490">
        <w:rPr>
          <w:rFonts w:ascii="Bookman Old Style" w:hAnsi="Bookman Old Style" w:cs="Arial"/>
          <w:color w:val="000000"/>
          <w:sz w:val="22"/>
          <w:szCs w:val="22"/>
          <w:lang w:eastAsia="en-US"/>
        </w:rPr>
        <w:t xml:space="preserve">, nella misura del </w:t>
      </w:r>
      <w:r w:rsidRPr="00A31490">
        <w:rPr>
          <w:rFonts w:ascii="Bookman Old Style" w:hAnsi="Bookman Old Style" w:cs="Arial"/>
          <w:bCs/>
          <w:color w:val="000000"/>
          <w:sz w:val="22"/>
          <w:szCs w:val="22"/>
          <w:lang w:eastAsia="en-US"/>
        </w:rPr>
        <w:t>36%</w:t>
      </w:r>
      <w:r w:rsidRPr="00A31490">
        <w:rPr>
          <w:rFonts w:ascii="Bookman Old Style" w:hAnsi="Bookman Old Style" w:cs="Arial"/>
          <w:color w:val="000000"/>
          <w:sz w:val="22"/>
          <w:szCs w:val="22"/>
          <w:lang w:eastAsia="en-US"/>
        </w:rPr>
        <w:t xml:space="preserve">, su una </w:t>
      </w:r>
      <w:r w:rsidRPr="00A31490">
        <w:rPr>
          <w:rFonts w:ascii="Bookman Old Style" w:hAnsi="Bookman Old Style" w:cs="Arial"/>
          <w:bCs/>
          <w:color w:val="000000"/>
          <w:sz w:val="22"/>
          <w:szCs w:val="22"/>
          <w:lang w:eastAsia="en-US"/>
        </w:rPr>
        <w:t>spesa massima di 5.000 euro per unità immobiliare ad uso abitativo</w:t>
      </w:r>
      <w:r w:rsidRPr="00A31490">
        <w:rPr>
          <w:rFonts w:ascii="Bookman Old Style" w:hAnsi="Bookman Old Style" w:cs="Arial"/>
          <w:color w:val="000000"/>
          <w:sz w:val="22"/>
          <w:szCs w:val="22"/>
          <w:lang w:eastAsia="en-US"/>
        </w:rPr>
        <w:t>, fruibile dal proprietario o dal detentore dell’immobile sul quale sono effettuati interventi di:</w:t>
      </w:r>
    </w:p>
    <w:p w:rsidR="006649DC" w:rsidRPr="00A31490" w:rsidRDefault="006649DC" w:rsidP="003C2133">
      <w:pPr>
        <w:autoSpaceDE w:val="0"/>
        <w:autoSpaceDN w:val="0"/>
        <w:adjustRightInd w:val="0"/>
        <w:jc w:val="both"/>
        <w:rPr>
          <w:rFonts w:ascii="Bookman Old Style" w:hAnsi="Bookman Old Style" w:cs="Arial"/>
          <w:color w:val="000000"/>
          <w:sz w:val="22"/>
          <w:szCs w:val="22"/>
          <w:lang w:eastAsia="en-US"/>
        </w:rPr>
      </w:pPr>
      <w:r w:rsidRPr="00A31490">
        <w:rPr>
          <w:rFonts w:ascii="Bookman Old Style" w:eastAsia="SymbolOOEnc" w:hAnsi="Bookman Old Style" w:cs="SymbolOOEnc"/>
          <w:color w:val="000000"/>
          <w:sz w:val="22"/>
          <w:szCs w:val="22"/>
          <w:lang w:eastAsia="en-US"/>
        </w:rPr>
        <w:t xml:space="preserve">- </w:t>
      </w:r>
      <w:r w:rsidRPr="00A31490">
        <w:rPr>
          <w:rFonts w:ascii="Bookman Old Style" w:hAnsi="Bookman Old Style" w:cs="Arial"/>
          <w:color w:val="000000"/>
          <w:sz w:val="22"/>
          <w:szCs w:val="22"/>
          <w:lang w:eastAsia="en-US"/>
        </w:rPr>
        <w:t>“</w:t>
      </w:r>
      <w:r w:rsidRPr="00A31490">
        <w:rPr>
          <w:rFonts w:ascii="Bookman Old Style" w:hAnsi="Bookman Old Style" w:cs="Arial"/>
          <w:bCs/>
          <w:color w:val="000000"/>
          <w:sz w:val="22"/>
          <w:szCs w:val="22"/>
          <w:lang w:eastAsia="en-US"/>
        </w:rPr>
        <w:t>sistemazione a verde</w:t>
      </w:r>
      <w:r w:rsidRPr="00A31490">
        <w:rPr>
          <w:rFonts w:ascii="Bookman Old Style" w:hAnsi="Bookman Old Style" w:cs="Arial"/>
          <w:color w:val="000000"/>
          <w:sz w:val="22"/>
          <w:szCs w:val="22"/>
          <w:lang w:eastAsia="en-US"/>
        </w:rPr>
        <w:t xml:space="preserve">” di aree scoperte private di edifici esistenti, unità immobiliari, pertinenze o recinzioni, </w:t>
      </w:r>
      <w:r w:rsidRPr="00A31490">
        <w:rPr>
          <w:rFonts w:ascii="Bookman Old Style" w:hAnsi="Bookman Old Style" w:cs="Arial"/>
          <w:bCs/>
          <w:color w:val="000000"/>
          <w:sz w:val="22"/>
          <w:szCs w:val="22"/>
          <w:lang w:eastAsia="en-US"/>
        </w:rPr>
        <w:t xml:space="preserve">impianti di irrigazione </w:t>
      </w:r>
      <w:r w:rsidRPr="00A31490">
        <w:rPr>
          <w:rFonts w:ascii="Bookman Old Style" w:hAnsi="Bookman Old Style" w:cs="Arial"/>
          <w:color w:val="000000"/>
          <w:sz w:val="22"/>
          <w:szCs w:val="22"/>
          <w:lang w:eastAsia="en-US"/>
        </w:rPr>
        <w:t xml:space="preserve">e realizzazione </w:t>
      </w:r>
      <w:r w:rsidRPr="00A31490">
        <w:rPr>
          <w:rFonts w:ascii="Bookman Old Style" w:hAnsi="Bookman Old Style" w:cs="Arial"/>
          <w:bCs/>
          <w:color w:val="000000"/>
          <w:sz w:val="22"/>
          <w:szCs w:val="22"/>
          <w:lang w:eastAsia="en-US"/>
        </w:rPr>
        <w:t>pozzi</w:t>
      </w:r>
      <w:r w:rsidRPr="00A31490">
        <w:rPr>
          <w:rFonts w:ascii="Bookman Old Style" w:hAnsi="Bookman Old Style" w:cs="Arial"/>
          <w:color w:val="000000"/>
          <w:sz w:val="22"/>
          <w:szCs w:val="22"/>
          <w:lang w:eastAsia="en-US"/>
        </w:rPr>
        <w:t>;</w:t>
      </w:r>
    </w:p>
    <w:p w:rsidR="006649DC" w:rsidRPr="00A31490" w:rsidRDefault="006649DC" w:rsidP="003C2133">
      <w:pPr>
        <w:autoSpaceDE w:val="0"/>
        <w:autoSpaceDN w:val="0"/>
        <w:adjustRightInd w:val="0"/>
        <w:jc w:val="both"/>
        <w:rPr>
          <w:rFonts w:ascii="Bookman Old Style" w:hAnsi="Bookman Old Style" w:cs="Arial"/>
          <w:color w:val="000000"/>
          <w:sz w:val="22"/>
          <w:szCs w:val="22"/>
          <w:lang w:eastAsia="en-US"/>
        </w:rPr>
      </w:pPr>
      <w:r w:rsidRPr="00A31490">
        <w:rPr>
          <w:rFonts w:ascii="Bookman Old Style" w:eastAsia="SymbolOOEnc" w:hAnsi="Bookman Old Style" w:cs="SymbolOOEnc"/>
          <w:color w:val="000000"/>
          <w:sz w:val="22"/>
          <w:szCs w:val="22"/>
          <w:lang w:eastAsia="en-US"/>
        </w:rPr>
        <w:t xml:space="preserve">- </w:t>
      </w:r>
      <w:r w:rsidRPr="00A31490">
        <w:rPr>
          <w:rFonts w:ascii="Bookman Old Style" w:hAnsi="Bookman Old Style" w:cs="Arial"/>
          <w:color w:val="000000"/>
          <w:sz w:val="22"/>
          <w:szCs w:val="22"/>
          <w:lang w:eastAsia="en-US"/>
        </w:rPr>
        <w:t xml:space="preserve">realizzazione di </w:t>
      </w:r>
      <w:r w:rsidRPr="00A31490">
        <w:rPr>
          <w:rFonts w:ascii="Bookman Old Style" w:hAnsi="Bookman Old Style" w:cs="Arial"/>
          <w:bCs/>
          <w:color w:val="000000"/>
          <w:sz w:val="22"/>
          <w:szCs w:val="22"/>
          <w:lang w:eastAsia="en-US"/>
        </w:rPr>
        <w:t xml:space="preserve">coperture a verde </w:t>
      </w:r>
      <w:r w:rsidRPr="00A31490">
        <w:rPr>
          <w:rFonts w:ascii="Bookman Old Style" w:hAnsi="Bookman Old Style" w:cs="Arial"/>
          <w:color w:val="000000"/>
          <w:sz w:val="22"/>
          <w:szCs w:val="22"/>
          <w:lang w:eastAsia="en-US"/>
        </w:rPr>
        <w:t xml:space="preserve">e di </w:t>
      </w:r>
      <w:r w:rsidRPr="00A31490">
        <w:rPr>
          <w:rFonts w:ascii="Bookman Old Style" w:hAnsi="Bookman Old Style" w:cs="Arial"/>
          <w:bCs/>
          <w:color w:val="000000"/>
          <w:sz w:val="22"/>
          <w:szCs w:val="22"/>
          <w:lang w:eastAsia="en-US"/>
        </w:rPr>
        <w:t>giardini pensili</w:t>
      </w:r>
      <w:r w:rsidRPr="00A31490">
        <w:rPr>
          <w:rFonts w:ascii="Bookman Old Style" w:hAnsi="Bookman Old Style" w:cs="Arial"/>
          <w:color w:val="000000"/>
          <w:sz w:val="22"/>
          <w:szCs w:val="22"/>
          <w:lang w:eastAsia="en-US"/>
        </w:rPr>
        <w:t>.</w:t>
      </w:r>
    </w:p>
    <w:p w:rsidR="006649DC" w:rsidRPr="00A31490" w:rsidRDefault="006649DC" w:rsidP="003C2133">
      <w:pPr>
        <w:jc w:val="both"/>
        <w:rPr>
          <w:rFonts w:ascii="Bookman Old Style" w:hAnsi="Bookman Old Style" w:cs="Arial"/>
          <w:color w:val="000000"/>
          <w:sz w:val="22"/>
          <w:szCs w:val="22"/>
          <w:lang w:eastAsia="en-US"/>
        </w:rPr>
      </w:pPr>
      <w:r w:rsidRPr="00A31490">
        <w:rPr>
          <w:rFonts w:ascii="Bookman Old Style" w:hAnsi="Bookman Old Style" w:cs="Arial"/>
          <w:color w:val="000000"/>
          <w:sz w:val="22"/>
          <w:szCs w:val="22"/>
          <w:lang w:eastAsia="en-US"/>
        </w:rPr>
        <w:t>La nuova detrazione</w:t>
      </w:r>
      <w:r w:rsidRPr="00A31490">
        <w:rPr>
          <w:rFonts w:ascii="Bookman Old Style" w:eastAsia="SymbolOOEnc" w:hAnsi="Bookman Old Style" w:cs="Arial"/>
          <w:sz w:val="22"/>
          <w:szCs w:val="22"/>
          <w:lang w:eastAsia="en-US"/>
        </w:rPr>
        <w:t xml:space="preserve"> spetta anche per</w:t>
      </w:r>
      <w:r w:rsidRPr="00A31490">
        <w:rPr>
          <w:rFonts w:ascii="Bookman Old Style" w:hAnsi="Bookman Old Style" w:cs="Arial"/>
          <w:color w:val="000000"/>
          <w:sz w:val="22"/>
          <w:szCs w:val="22"/>
          <w:lang w:eastAsia="en-US"/>
        </w:rPr>
        <w:t>:</w:t>
      </w:r>
    </w:p>
    <w:p w:rsidR="006649DC" w:rsidRPr="004714BB" w:rsidRDefault="006649DC" w:rsidP="003C2133">
      <w:pPr>
        <w:autoSpaceDE w:val="0"/>
        <w:autoSpaceDN w:val="0"/>
        <w:adjustRightInd w:val="0"/>
        <w:jc w:val="both"/>
        <w:rPr>
          <w:rFonts w:ascii="Bookman Old Style" w:eastAsia="SymbolOOEnc" w:hAnsi="Bookman Old Style" w:cs="Arial"/>
          <w:sz w:val="22"/>
          <w:szCs w:val="22"/>
          <w:lang w:eastAsia="en-US"/>
        </w:rPr>
      </w:pPr>
      <w:r w:rsidRPr="00A31490">
        <w:rPr>
          <w:rFonts w:ascii="Bookman Old Style" w:eastAsia="SymbolOOEnc" w:hAnsi="Bookman Old Style" w:cs="SymbolOOEnc"/>
          <w:sz w:val="22"/>
          <w:szCs w:val="22"/>
          <w:lang w:eastAsia="en-US"/>
        </w:rPr>
        <w:t xml:space="preserve">- </w:t>
      </w:r>
      <w:r w:rsidRPr="00A31490">
        <w:rPr>
          <w:rFonts w:ascii="Bookman Old Style" w:eastAsia="SymbolOOEnc" w:hAnsi="Bookman Old Style" w:cs="Arial"/>
          <w:sz w:val="22"/>
          <w:szCs w:val="22"/>
          <w:lang w:eastAsia="en-US"/>
        </w:rPr>
        <w:t xml:space="preserve">gli </w:t>
      </w:r>
      <w:r w:rsidRPr="00A31490">
        <w:rPr>
          <w:rFonts w:ascii="Bookman Old Style" w:eastAsia="SymbolOOEnc" w:hAnsi="Bookman Old Style" w:cs="Arial"/>
          <w:bCs/>
          <w:sz w:val="22"/>
          <w:szCs w:val="22"/>
          <w:lang w:eastAsia="en-US"/>
        </w:rPr>
        <w:t>interventi effettuati su parti comuni esterne</w:t>
      </w:r>
      <w:r w:rsidRPr="004714BB">
        <w:rPr>
          <w:rFonts w:ascii="Bookman Old Style" w:eastAsia="SymbolOOEnc" w:hAnsi="Bookman Old Style" w:cs="Arial"/>
          <w:bCs/>
          <w:sz w:val="22"/>
          <w:szCs w:val="22"/>
          <w:lang w:eastAsia="en-US"/>
        </w:rPr>
        <w:t xml:space="preserve"> di edifici condominiali</w:t>
      </w:r>
      <w:r w:rsidRPr="004714BB">
        <w:rPr>
          <w:rFonts w:ascii="Bookman Old Style" w:eastAsia="SymbolOOEnc" w:hAnsi="Bookman Old Style" w:cs="Arial"/>
          <w:sz w:val="22"/>
          <w:szCs w:val="22"/>
          <w:lang w:eastAsia="en-US"/>
        </w:rPr>
        <w:t xml:space="preserve">, fino </w:t>
      </w:r>
      <w:r>
        <w:rPr>
          <w:rFonts w:ascii="Bookman Old Style" w:eastAsia="SymbolOOEnc" w:hAnsi="Bookman Old Style" w:cs="Arial"/>
          <w:sz w:val="22"/>
          <w:szCs w:val="22"/>
          <w:lang w:eastAsia="en-US"/>
        </w:rPr>
        <w:t>ad un importo massimo di</w:t>
      </w:r>
      <w:r w:rsidRPr="004714BB">
        <w:rPr>
          <w:rFonts w:ascii="Bookman Old Style" w:eastAsia="SymbolOOEnc" w:hAnsi="Bookman Old Style" w:cs="Arial"/>
          <w:sz w:val="22"/>
          <w:szCs w:val="22"/>
          <w:lang w:eastAsia="en-US"/>
        </w:rPr>
        <w:t xml:space="preserve"> 5.000 </w:t>
      </w:r>
      <w:r>
        <w:rPr>
          <w:rFonts w:ascii="Bookman Old Style" w:eastAsia="SymbolOOEnc" w:hAnsi="Bookman Old Style" w:cs="Arial"/>
          <w:sz w:val="22"/>
          <w:szCs w:val="22"/>
          <w:lang w:eastAsia="en-US"/>
        </w:rPr>
        <w:t xml:space="preserve">euro </w:t>
      </w:r>
      <w:r w:rsidRPr="004714BB">
        <w:rPr>
          <w:rFonts w:ascii="Bookman Old Style" w:eastAsia="SymbolOOEnc" w:hAnsi="Bookman Old Style" w:cs="Arial"/>
          <w:sz w:val="22"/>
          <w:szCs w:val="22"/>
          <w:lang w:eastAsia="en-US"/>
        </w:rPr>
        <w:t>per unità immobiliare ad uso abitativo;</w:t>
      </w:r>
    </w:p>
    <w:p w:rsidR="006649DC" w:rsidRDefault="006649DC" w:rsidP="003C2133">
      <w:pPr>
        <w:autoSpaceDE w:val="0"/>
        <w:autoSpaceDN w:val="0"/>
        <w:adjustRightInd w:val="0"/>
        <w:jc w:val="both"/>
        <w:rPr>
          <w:rFonts w:ascii="Bookman Old Style" w:eastAsia="SymbolOOEnc" w:hAnsi="Bookman Old Style" w:cs="Arial"/>
          <w:sz w:val="22"/>
          <w:szCs w:val="22"/>
          <w:lang w:eastAsia="en-US"/>
        </w:rPr>
      </w:pPr>
      <w:r>
        <w:rPr>
          <w:rFonts w:ascii="Bookman Old Style" w:eastAsia="SymbolOOEnc" w:hAnsi="Bookman Old Style" w:cs="SymbolOOEnc"/>
          <w:sz w:val="22"/>
          <w:szCs w:val="22"/>
          <w:lang w:eastAsia="en-US"/>
        </w:rPr>
        <w:t>-</w:t>
      </w:r>
      <w:r w:rsidRPr="004714BB">
        <w:rPr>
          <w:rFonts w:ascii="Bookman Old Style" w:eastAsia="SymbolOOEnc" w:hAnsi="Bookman Old Style" w:cs="SymbolOOEnc"/>
          <w:sz w:val="22"/>
          <w:szCs w:val="22"/>
          <w:lang w:eastAsia="en-US"/>
        </w:rPr>
        <w:t xml:space="preserve"> </w:t>
      </w:r>
      <w:r w:rsidRPr="004714BB">
        <w:rPr>
          <w:rFonts w:ascii="Bookman Old Style" w:eastAsia="SymbolOOEnc" w:hAnsi="Bookman Old Style" w:cs="Arial"/>
          <w:sz w:val="22"/>
          <w:szCs w:val="22"/>
          <w:lang w:eastAsia="en-US"/>
        </w:rPr>
        <w:t xml:space="preserve">le </w:t>
      </w:r>
      <w:r w:rsidRPr="004714BB">
        <w:rPr>
          <w:rFonts w:ascii="Bookman Old Style" w:eastAsia="SymbolOOEnc" w:hAnsi="Bookman Old Style" w:cs="Arial"/>
          <w:bCs/>
          <w:sz w:val="22"/>
          <w:szCs w:val="22"/>
          <w:lang w:eastAsia="en-US"/>
        </w:rPr>
        <w:t xml:space="preserve">spese di progettazione e manutenzione </w:t>
      </w:r>
      <w:r w:rsidRPr="004714BB">
        <w:rPr>
          <w:rFonts w:ascii="Bookman Old Style" w:eastAsia="SymbolOOEnc" w:hAnsi="Bookman Old Style" w:cs="Arial"/>
          <w:sz w:val="22"/>
          <w:szCs w:val="22"/>
          <w:lang w:eastAsia="en-US"/>
        </w:rPr>
        <w:t xml:space="preserve">connesse all’esecuzione degli </w:t>
      </w:r>
      <w:r>
        <w:rPr>
          <w:rFonts w:ascii="Bookman Old Style" w:eastAsia="SymbolOOEnc" w:hAnsi="Bookman Old Style" w:cs="Arial"/>
          <w:sz w:val="22"/>
          <w:szCs w:val="22"/>
          <w:lang w:eastAsia="en-US"/>
        </w:rPr>
        <w:t>interventi agevolati</w:t>
      </w:r>
    </w:p>
    <w:p w:rsidR="006649DC" w:rsidRPr="004714BB" w:rsidRDefault="006649DC" w:rsidP="003C2133">
      <w:pPr>
        <w:autoSpaceDE w:val="0"/>
        <w:autoSpaceDN w:val="0"/>
        <w:adjustRightInd w:val="0"/>
        <w:jc w:val="both"/>
        <w:rPr>
          <w:rFonts w:ascii="Bookman Old Style" w:eastAsia="SymbolOOEnc" w:hAnsi="Bookman Old Style" w:cs="Arial"/>
          <w:sz w:val="22"/>
          <w:szCs w:val="22"/>
          <w:lang w:eastAsia="en-US"/>
        </w:rPr>
      </w:pPr>
      <w:r>
        <w:rPr>
          <w:rFonts w:ascii="Bookman Old Style" w:eastAsia="SymbolOOEnc" w:hAnsi="Bookman Old Style" w:cs="Arial"/>
          <w:sz w:val="22"/>
          <w:szCs w:val="22"/>
          <w:lang w:eastAsia="en-US"/>
        </w:rPr>
        <w:t xml:space="preserve">La detrazione </w:t>
      </w:r>
      <w:r w:rsidRPr="004714BB">
        <w:rPr>
          <w:rFonts w:ascii="Bookman Old Style" w:eastAsia="SymbolOOEnc" w:hAnsi="Bookman Old Style" w:cs="Arial"/>
          <w:sz w:val="22"/>
          <w:szCs w:val="22"/>
          <w:lang w:eastAsia="en-US"/>
        </w:rPr>
        <w:t xml:space="preserve">è fruibile a condizione che i </w:t>
      </w:r>
      <w:r w:rsidRPr="004714BB">
        <w:rPr>
          <w:rFonts w:ascii="Bookman Old Style" w:eastAsia="SymbolOOEnc" w:hAnsi="Bookman Old Style" w:cs="Arial"/>
          <w:bCs/>
          <w:sz w:val="22"/>
          <w:szCs w:val="22"/>
          <w:lang w:eastAsia="en-US"/>
        </w:rPr>
        <w:t xml:space="preserve">pagamenti siano effettuati tramite strumenti idonei a consentire la tracciabilità </w:t>
      </w:r>
      <w:r>
        <w:rPr>
          <w:rFonts w:ascii="Bookman Old Style" w:eastAsia="SymbolOOEnc" w:hAnsi="Bookman Old Style" w:cs="Arial"/>
          <w:sz w:val="22"/>
          <w:szCs w:val="22"/>
          <w:lang w:eastAsia="en-US"/>
        </w:rPr>
        <w:t>delle operazioni e va</w:t>
      </w:r>
      <w:r w:rsidRPr="004714BB">
        <w:rPr>
          <w:rFonts w:ascii="Bookman Old Style" w:eastAsia="SymbolOOEnc" w:hAnsi="Bookman Old Style" w:cs="Arial"/>
          <w:sz w:val="22"/>
          <w:szCs w:val="22"/>
          <w:lang w:eastAsia="en-US"/>
        </w:rPr>
        <w:t xml:space="preserve"> ripartita in </w:t>
      </w:r>
      <w:r w:rsidRPr="004714BB">
        <w:rPr>
          <w:rFonts w:ascii="Bookman Old Style" w:eastAsia="SymbolOOEnc" w:hAnsi="Bookman Old Style" w:cs="Arial"/>
          <w:bCs/>
          <w:sz w:val="22"/>
          <w:szCs w:val="22"/>
          <w:lang w:eastAsia="en-US"/>
        </w:rPr>
        <w:t xml:space="preserve">10 rate annuali </w:t>
      </w:r>
      <w:r w:rsidRPr="004714BB">
        <w:rPr>
          <w:rFonts w:ascii="Bookman Old Style" w:eastAsia="SymbolOOEnc" w:hAnsi="Bookman Old Style" w:cs="Arial"/>
          <w:sz w:val="22"/>
          <w:szCs w:val="22"/>
          <w:lang w:eastAsia="en-US"/>
        </w:rPr>
        <w:t>di pari importo, a decorrere dall’anno di sostenimento.</w:t>
      </w: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Pr="003C2133" w:rsidRDefault="006649DC" w:rsidP="003C2133">
      <w:pPr>
        <w:pStyle w:val="Heading1"/>
        <w:rPr>
          <w:rFonts w:ascii="Bookman Old Style" w:hAnsi="Bookman Old Style"/>
          <w:b w:val="0"/>
          <w:u w:val="single"/>
          <w:lang w:eastAsia="en-US"/>
        </w:rPr>
      </w:pPr>
      <w:bookmarkStart w:id="180" w:name="_Toc506559970"/>
      <w:r w:rsidRPr="003C2133">
        <w:rPr>
          <w:rFonts w:ascii="Bookman Old Style" w:hAnsi="Bookman Old Style"/>
          <w:b w:val="0"/>
          <w:u w:val="single"/>
          <w:lang w:eastAsia="en-US"/>
        </w:rPr>
        <w:t>Imposte dirette: altri interventi relativi alle imprese</w:t>
      </w:r>
      <w:bookmarkEnd w:id="180"/>
    </w:p>
    <w:p w:rsidR="006649DC" w:rsidRDefault="006649DC" w:rsidP="003C2133">
      <w:pPr>
        <w:autoSpaceDE w:val="0"/>
        <w:autoSpaceDN w:val="0"/>
        <w:adjustRightInd w:val="0"/>
        <w:jc w:val="both"/>
        <w:rPr>
          <w:rFonts w:ascii="Bookman Old Style" w:hAnsi="Bookman Old Style" w:cs="Arial"/>
          <w:bCs/>
          <w:sz w:val="22"/>
          <w:szCs w:val="22"/>
          <w:lang w:eastAsia="en-US"/>
        </w:rPr>
      </w:pPr>
      <w:r>
        <w:rPr>
          <w:rFonts w:ascii="Bookman Old Style" w:hAnsi="Bookman Old Style" w:cs="Arial"/>
          <w:bCs/>
          <w:sz w:val="22"/>
          <w:szCs w:val="22"/>
          <w:lang w:eastAsia="en-US"/>
        </w:rPr>
        <w:t>Di seguito sono esaminate alcune disposizioni a sostegno delle imprese o comunque ad esse concernenti:</w:t>
      </w:r>
    </w:p>
    <w:p w:rsidR="006649DC" w:rsidRDefault="006649DC" w:rsidP="003C2133">
      <w:pPr>
        <w:autoSpaceDE w:val="0"/>
        <w:autoSpaceDN w:val="0"/>
        <w:adjustRightInd w:val="0"/>
        <w:jc w:val="both"/>
        <w:rPr>
          <w:rFonts w:ascii="Bookman Old Style" w:hAnsi="Bookman Old Style" w:cs="Arial"/>
          <w:bCs/>
          <w:sz w:val="22"/>
          <w:szCs w:val="22"/>
          <w:lang w:eastAsia="en-US"/>
        </w:rPr>
      </w:pPr>
      <w:r>
        <w:rPr>
          <w:rFonts w:ascii="Bookman Old Style" w:hAnsi="Bookman Old Style" w:cs="Arial"/>
          <w:bCs/>
          <w:sz w:val="22"/>
          <w:szCs w:val="22"/>
          <w:lang w:eastAsia="en-US"/>
        </w:rPr>
        <w:t>- modifiche alla determinazione del ROL al fine della deducibilità degli interessi passivi dei soggetti IRES;</w:t>
      </w:r>
    </w:p>
    <w:p w:rsidR="006649DC" w:rsidRDefault="006649DC" w:rsidP="003C2133">
      <w:pPr>
        <w:autoSpaceDE w:val="0"/>
        <w:autoSpaceDN w:val="0"/>
        <w:adjustRightInd w:val="0"/>
        <w:jc w:val="both"/>
        <w:rPr>
          <w:rFonts w:ascii="Bookman Old Style" w:hAnsi="Bookman Old Style" w:cs="Arial"/>
          <w:bCs/>
          <w:sz w:val="22"/>
          <w:szCs w:val="22"/>
          <w:lang w:eastAsia="en-US"/>
        </w:rPr>
      </w:pPr>
      <w:r>
        <w:rPr>
          <w:rFonts w:ascii="Bookman Old Style" w:hAnsi="Bookman Old Style" w:cs="Arial"/>
          <w:bCs/>
          <w:sz w:val="22"/>
          <w:szCs w:val="22"/>
          <w:lang w:eastAsia="en-US"/>
        </w:rPr>
        <w:t>- affrancamento partecipazioni di controllo;</w:t>
      </w:r>
    </w:p>
    <w:p w:rsidR="006649DC" w:rsidRDefault="006649DC" w:rsidP="003C2133">
      <w:pPr>
        <w:autoSpaceDE w:val="0"/>
        <w:autoSpaceDN w:val="0"/>
        <w:adjustRightInd w:val="0"/>
        <w:jc w:val="both"/>
        <w:rPr>
          <w:rFonts w:ascii="Bookman Old Style" w:hAnsi="Bookman Old Style" w:cs="Arial"/>
          <w:bCs/>
          <w:sz w:val="22"/>
          <w:szCs w:val="22"/>
          <w:lang w:eastAsia="en-US"/>
        </w:rPr>
      </w:pPr>
      <w:r>
        <w:rPr>
          <w:rFonts w:ascii="Bookman Old Style" w:hAnsi="Bookman Old Style" w:cs="Arial"/>
          <w:bCs/>
          <w:sz w:val="22"/>
          <w:szCs w:val="22"/>
          <w:lang w:eastAsia="en-US"/>
        </w:rPr>
        <w:t>- differimento IRI;</w:t>
      </w:r>
    </w:p>
    <w:p w:rsidR="006649DC" w:rsidRDefault="006649DC" w:rsidP="003C2133">
      <w:pPr>
        <w:autoSpaceDE w:val="0"/>
        <w:autoSpaceDN w:val="0"/>
        <w:adjustRightInd w:val="0"/>
        <w:jc w:val="both"/>
        <w:rPr>
          <w:rFonts w:ascii="Bookman Old Style" w:hAnsi="Bookman Old Style" w:cs="Arial"/>
          <w:bCs/>
          <w:sz w:val="22"/>
          <w:szCs w:val="22"/>
          <w:lang w:eastAsia="en-US"/>
        </w:rPr>
      </w:pPr>
      <w:r w:rsidRPr="00E3293C">
        <w:rPr>
          <w:rFonts w:ascii="Bookman Old Style" w:hAnsi="Bookman Old Style" w:cs="Arial"/>
          <w:bCs/>
          <w:sz w:val="22"/>
          <w:szCs w:val="22"/>
          <w:lang w:eastAsia="en-US"/>
        </w:rPr>
        <w:t>- erogazioni liberali finalizzate alla ristrutturazione di impianti sportivi</w:t>
      </w:r>
      <w:r>
        <w:rPr>
          <w:rFonts w:ascii="Bookman Old Style" w:hAnsi="Bookman Old Style" w:cs="Arial"/>
          <w:bCs/>
          <w:sz w:val="22"/>
          <w:szCs w:val="22"/>
          <w:lang w:eastAsia="en-US"/>
        </w:rPr>
        <w:t>.</w:t>
      </w:r>
    </w:p>
    <w:p w:rsidR="006649DC" w:rsidRPr="00A31490" w:rsidRDefault="006649DC" w:rsidP="003C2133">
      <w:pPr>
        <w:autoSpaceDE w:val="0"/>
        <w:autoSpaceDN w:val="0"/>
        <w:adjustRightInd w:val="0"/>
        <w:jc w:val="both"/>
        <w:rPr>
          <w:rFonts w:ascii="Bookman Old Style" w:hAnsi="Bookman Old Style" w:cs="Arial"/>
          <w:bCs/>
          <w:sz w:val="22"/>
          <w:szCs w:val="22"/>
          <w:u w:val="single"/>
          <w:lang w:eastAsia="en-US"/>
        </w:rPr>
      </w:pPr>
    </w:p>
    <w:p w:rsidR="006649DC" w:rsidRPr="00A31490" w:rsidRDefault="006649DC" w:rsidP="003C2133">
      <w:pPr>
        <w:autoSpaceDE w:val="0"/>
        <w:autoSpaceDN w:val="0"/>
        <w:adjustRightInd w:val="0"/>
        <w:jc w:val="both"/>
        <w:rPr>
          <w:rFonts w:ascii="Bookman Old Style" w:hAnsi="Bookman Old Style" w:cs="Arial"/>
          <w:bCs/>
          <w:i/>
          <w:sz w:val="22"/>
          <w:szCs w:val="22"/>
          <w:lang w:eastAsia="en-US"/>
        </w:rPr>
      </w:pPr>
      <w:r w:rsidRPr="00A31490">
        <w:rPr>
          <w:rFonts w:ascii="Bookman Old Style" w:hAnsi="Bookman Old Style" w:cs="Arial"/>
          <w:bCs/>
          <w:i/>
          <w:sz w:val="22"/>
          <w:szCs w:val="22"/>
          <w:lang w:eastAsia="en-US"/>
        </w:rPr>
        <w:t>Deducibilità interessi passivi (rol)</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hAnsi="Bookman Old Style" w:cs="Arial"/>
          <w:sz w:val="22"/>
          <w:szCs w:val="22"/>
          <w:lang w:eastAsia="en-US"/>
        </w:rPr>
        <w:t xml:space="preserve">I co. 994 e 995, L. 27.12.2017, n. 205 abrogano l’ultimo periodo del co. 2 dell’art. 96, D.P.R. 917/1986, con la conseguenza che - ai fini del calcolo del ROL - </w:t>
      </w:r>
      <w:r w:rsidRPr="00A31490">
        <w:rPr>
          <w:rFonts w:ascii="Bookman Old Style" w:hAnsi="Bookman Old Style" w:cs="Arial"/>
          <w:bCs/>
          <w:sz w:val="22"/>
          <w:szCs w:val="22"/>
          <w:lang w:eastAsia="en-US"/>
        </w:rPr>
        <w:t xml:space="preserve">non rilevano più i dividendi </w:t>
      </w:r>
      <w:r w:rsidRPr="00A31490">
        <w:rPr>
          <w:rFonts w:ascii="Bookman Old Style" w:hAnsi="Bookman Old Style" w:cs="Arial"/>
          <w:sz w:val="22"/>
          <w:szCs w:val="22"/>
          <w:lang w:eastAsia="en-US"/>
        </w:rPr>
        <w:t>incassati relativi a partecipazioni detenute in società non residenti, controllate ai sensi dell’art. 2359, co. 1, n. 1), c.c. (controllo di diritto).</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hAnsi="Bookman Old Style" w:cs="Arial"/>
          <w:sz w:val="22"/>
          <w:szCs w:val="22"/>
          <w:lang w:eastAsia="en-US"/>
        </w:rPr>
        <w:t>In deroga all’art. 3, L. 27.7.2000, n. 212 (Statuto dei diritti del contribuente), la nuova disposizione è applicabile a decorrere dal periodo d’imposta successivo a quello in corso al 31.12.2016 (in generale, quindi, dal 2017).</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hAnsi="Bookman Old Style" w:cs="Arial"/>
          <w:sz w:val="22"/>
          <w:szCs w:val="22"/>
          <w:lang w:eastAsia="en-US"/>
        </w:rPr>
        <w:t>Questa decorrenza retrodatata potrebbe comportare un impatto significativo ai fini del calcolo degli acconti scaduti il 30 novembre 2017.</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hAnsi="Bookman Old Style" w:cs="Arial"/>
          <w:sz w:val="22"/>
          <w:szCs w:val="22"/>
          <w:lang w:eastAsia="en-US"/>
        </w:rPr>
        <w:t>Si ricorda che, per i soggetti IRES, la disciplina relativa alla deducibilità degli intessi passivi è contenuta, sin dal 2008, nell’art. 96, D.P.R. 917/1986.</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hAnsi="Bookman Old Style" w:cs="Arial"/>
          <w:sz w:val="22"/>
          <w:szCs w:val="22"/>
          <w:lang w:eastAsia="en-US"/>
        </w:rPr>
        <w:t xml:space="preserve">La norma dispone che gli interessi passivi sono deducibili nel limite di quelli attivi, e l’eventuale eccedenza entro la soglia del 30% del ROL, alla cui formazione non concorrono, con specifico riferimento alle holding industriali, i dividendi distribuiti dalle società partecipate. </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hAnsi="Bookman Old Style" w:cs="Arial"/>
          <w:sz w:val="22"/>
          <w:szCs w:val="22"/>
          <w:lang w:eastAsia="en-US"/>
        </w:rPr>
        <w:t xml:space="preserve">Al fine di evitare che tali ultimi soggetti fossero penalizzati dall’indeducibilità assoluta degli interessi passivi, l’art. 96, co. 7, D.P.R. 917/1986 disponeva che - in caso di esercizio dell’opzione per il consolidato fiscale – era ammesso portare in abbattimento del reddito complessivo del gruppo l’eventuale eccedenza di interessi passivi ed oneri assimilati, nei limiti in cui gli altri soggetti aderenti al perimetro di consolidamento avessero presentato un ROL capiente non integralmente sfruttato per la deduzione. </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hAnsi="Bookman Old Style" w:cs="Arial"/>
          <w:sz w:val="22"/>
          <w:szCs w:val="22"/>
          <w:lang w:eastAsia="en-US"/>
        </w:rPr>
        <w:t>Inoltre, alle holding industriali veniva concessa la possibilità di includere virtualmente nel perimetro di consolidamento anche le società estere che presentavano i requisiti di cui al co. 8 del citato art. 96. Tale ultima previsione era finalizzata ad evitare che le holding industriali in possesso di partecipazioni in società estere fossero discriminate rispetto a quelle che detenevano partecipazioni in società nazionali le quali potevano accedere al consolidato fiscale.</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hAnsi="Bookman Old Style" w:cs="Arial"/>
          <w:sz w:val="22"/>
          <w:szCs w:val="22"/>
          <w:lang w:eastAsia="en-US"/>
        </w:rPr>
        <w:t>Successivamente il D.Lgs. 147/2015 ha abrogato il co. 8 citato, prevedendo al contempo l’introduzione dell’ultimo periodo del co. 2, secondo il quale - ai fini del calcolo del ROL - si teneva altresì conto, in ogni caso, dei dividendi incassati relativi a partecipazioni detenute in società non residenti che risultano controllate ai sensi dell’art. 2359, co. 1, n. 1, c.c.</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hAnsi="Bookman Old Style" w:cs="Arial"/>
          <w:sz w:val="22"/>
          <w:szCs w:val="22"/>
          <w:lang w:eastAsia="en-US"/>
        </w:rPr>
        <w:t>Le Legge di bilancio 2018 interviene eliminando tale previsione. Secondo la relazione illustrativa, l’abrogazione in parola risulta coerente con il disposto dell’art. 4, Dir. 2016/1164/UE; però il legislatore non ha ripristinato la previsione di cui all’abrogato co. 8 dell’art. 96.</w:t>
      </w:r>
    </w:p>
    <w:p w:rsidR="006649DC"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hAnsi="Bookman Old Style" w:cs="Arial"/>
          <w:sz w:val="22"/>
          <w:szCs w:val="22"/>
          <w:lang w:eastAsia="en-US"/>
        </w:rPr>
        <w:t>In termini concreti, le holding industriali in questo modo vengono penalizzate da una sistematica</w:t>
      </w:r>
      <w:r w:rsidRPr="00A86E96">
        <w:rPr>
          <w:rFonts w:ascii="Bookman Old Style" w:hAnsi="Bookman Old Style" w:cs="Arial"/>
          <w:sz w:val="22"/>
          <w:szCs w:val="22"/>
          <w:lang w:eastAsia="en-US"/>
        </w:rPr>
        <w:t xml:space="preserve"> indeducibilità degli interessi passivi. </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Pr>
          <w:rFonts w:ascii="Bookman Old Style" w:hAnsi="Bookman Old Style" w:cs="Arial"/>
          <w:sz w:val="22"/>
          <w:szCs w:val="22"/>
          <w:lang w:eastAsia="en-US"/>
        </w:rPr>
        <w:t>Quanto agli effetti immediati, anzi già passati, per</w:t>
      </w:r>
      <w:r w:rsidRPr="00A86E96">
        <w:rPr>
          <w:rFonts w:ascii="Bookman Old Style" w:hAnsi="Bookman Old Style" w:cs="Arial"/>
          <w:sz w:val="22"/>
          <w:szCs w:val="22"/>
          <w:lang w:eastAsia="en-US"/>
        </w:rPr>
        <w:t xml:space="preserve"> le holding industriali con periodo d’imposta coincidente con l’anno solare, già dal 2017 vige la novità con l’effetto che gli acconti versati nel corso di tale anno con il metodo previsionale potrebbero risultare inferiori al dovuto, con il conseguente rischio sanzionatorio.</w:t>
      </w:r>
    </w:p>
    <w:p w:rsidR="006649DC" w:rsidRDefault="006649DC" w:rsidP="003C2133">
      <w:pPr>
        <w:autoSpaceDE w:val="0"/>
        <w:autoSpaceDN w:val="0"/>
        <w:adjustRightInd w:val="0"/>
        <w:jc w:val="both"/>
        <w:rPr>
          <w:rFonts w:ascii="Bookman Old Style" w:hAnsi="Bookman Old Style" w:cs="Arial"/>
          <w:b/>
          <w:bCs/>
          <w:sz w:val="22"/>
          <w:szCs w:val="22"/>
          <w:lang w:eastAsia="en-US"/>
        </w:rPr>
      </w:pPr>
    </w:p>
    <w:p w:rsidR="006649DC" w:rsidRPr="00A31490" w:rsidRDefault="006649DC" w:rsidP="003C2133">
      <w:pPr>
        <w:autoSpaceDE w:val="0"/>
        <w:autoSpaceDN w:val="0"/>
        <w:adjustRightInd w:val="0"/>
        <w:jc w:val="both"/>
        <w:rPr>
          <w:rFonts w:ascii="Bookman Old Style" w:hAnsi="Bookman Old Style" w:cs="Arial"/>
          <w:bCs/>
          <w:i/>
          <w:sz w:val="22"/>
          <w:szCs w:val="22"/>
          <w:lang w:eastAsia="en-US"/>
        </w:rPr>
      </w:pPr>
      <w:r w:rsidRPr="00A31490">
        <w:rPr>
          <w:rFonts w:ascii="Bookman Old Style" w:hAnsi="Bookman Old Style" w:cs="Arial"/>
          <w:bCs/>
          <w:i/>
          <w:sz w:val="22"/>
          <w:szCs w:val="22"/>
          <w:lang w:eastAsia="en-US"/>
        </w:rPr>
        <w:t>Affrancamento partecipazioni di controllo</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hAnsi="Bookman Old Style" w:cs="Arial"/>
          <w:sz w:val="22"/>
          <w:szCs w:val="22"/>
          <w:lang w:eastAsia="en-US"/>
        </w:rPr>
        <w:t xml:space="preserve">I co. da 81 a 83, L. 205/2017 modificano i </w:t>
      </w:r>
      <w:r w:rsidRPr="00A31490">
        <w:rPr>
          <w:rFonts w:ascii="Bookman Old Style" w:hAnsi="Bookman Old Style" w:cs="Arial"/>
          <w:bCs/>
          <w:sz w:val="22"/>
          <w:szCs w:val="22"/>
          <w:lang w:eastAsia="en-US"/>
        </w:rPr>
        <w:t>co. 10-bis e 10-ter dell’art. 15, D.L. 185/2008</w:t>
      </w:r>
      <w:r w:rsidRPr="00A31490">
        <w:rPr>
          <w:rFonts w:ascii="Bookman Old Style" w:hAnsi="Bookman Old Style" w:cs="Arial"/>
          <w:sz w:val="22"/>
          <w:szCs w:val="22"/>
          <w:lang w:eastAsia="en-US"/>
        </w:rPr>
        <w:t xml:space="preserve">. Queste ultime disposizioni consentono il </w:t>
      </w:r>
      <w:r w:rsidRPr="00A31490">
        <w:rPr>
          <w:rFonts w:ascii="Bookman Old Style" w:hAnsi="Bookman Old Style" w:cs="Arial"/>
          <w:bCs/>
          <w:sz w:val="22"/>
          <w:szCs w:val="22"/>
          <w:lang w:eastAsia="en-US"/>
        </w:rPr>
        <w:t>riallineamento dei valori civili e fiscali</w:t>
      </w:r>
      <w:r w:rsidRPr="00A31490">
        <w:rPr>
          <w:rFonts w:ascii="Bookman Old Style" w:hAnsi="Bookman Old Style" w:cs="Arial"/>
          <w:sz w:val="22"/>
          <w:szCs w:val="22"/>
          <w:lang w:eastAsia="en-US"/>
        </w:rPr>
        <w:t>, mediante pagamento dell’imposta sostitutiva del 16%:</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eastAsia="SymbolOOEnc" w:hAnsi="Bookman Old Style" w:cs="SymbolOOEnc"/>
          <w:sz w:val="22"/>
          <w:szCs w:val="22"/>
          <w:lang w:eastAsia="en-US"/>
        </w:rPr>
        <w:t xml:space="preserve">- </w:t>
      </w:r>
      <w:r w:rsidRPr="00A31490">
        <w:rPr>
          <w:rFonts w:ascii="Bookman Old Style" w:hAnsi="Bookman Old Style" w:cs="Arial"/>
          <w:sz w:val="22"/>
          <w:szCs w:val="22"/>
          <w:lang w:eastAsia="en-US"/>
        </w:rPr>
        <w:t>ai maggiori valori delle partecipazioni di controllo iscritti in bilancio a seguito di un’operazione straordinaria a titolo di avviamento, marchi di impresa e altre attività immateriali;</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eastAsia="SymbolOOEnc" w:hAnsi="Bookman Old Style" w:cs="SymbolOOEnc"/>
          <w:sz w:val="22"/>
          <w:szCs w:val="22"/>
          <w:lang w:eastAsia="en-US"/>
        </w:rPr>
        <w:t xml:space="preserve">- </w:t>
      </w:r>
      <w:r w:rsidRPr="00A31490">
        <w:rPr>
          <w:rFonts w:ascii="Bookman Old Style" w:hAnsi="Bookman Old Style" w:cs="Arial"/>
          <w:sz w:val="22"/>
          <w:szCs w:val="22"/>
          <w:lang w:eastAsia="en-US"/>
        </w:rPr>
        <w:t>ai maggiori valori, attribuiti ad avviamenti, marchi di impresa e altre attività immateriali nel bilancio consolidato, delle partecipazioni di controllo acquisite nell’ambito di operazioni di cessione di azienda o di partecipazioni.</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hAnsi="Bookman Old Style" w:cs="Arial"/>
          <w:sz w:val="22"/>
          <w:szCs w:val="22"/>
          <w:lang w:eastAsia="en-US"/>
        </w:rPr>
        <w:t xml:space="preserve">La Legge di bilancio 2018 interviene stabilendo che il riallineamento è ammesso a prescindere dal fatto che dette partecipazioni siano in </w:t>
      </w:r>
      <w:r w:rsidRPr="00A31490">
        <w:rPr>
          <w:rFonts w:ascii="Bookman Old Style" w:hAnsi="Bookman Old Style" w:cs="Arial"/>
          <w:bCs/>
          <w:sz w:val="22"/>
          <w:szCs w:val="22"/>
          <w:lang w:eastAsia="en-US"/>
        </w:rPr>
        <w:t>società residenti o non residenti anche prive di stabile organizzazione in Italia</w:t>
      </w:r>
      <w:r w:rsidRPr="00A31490">
        <w:rPr>
          <w:rFonts w:ascii="Bookman Old Style" w:hAnsi="Bookman Old Style" w:cs="Arial"/>
          <w:sz w:val="22"/>
          <w:szCs w:val="22"/>
          <w:lang w:eastAsia="en-US"/>
        </w:rPr>
        <w:t>.</w:t>
      </w:r>
    </w:p>
    <w:p w:rsidR="006649DC"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hAnsi="Bookman Old Style" w:cs="Arial"/>
          <w:sz w:val="22"/>
          <w:szCs w:val="22"/>
          <w:lang w:eastAsia="en-US"/>
        </w:rPr>
        <w:t>Quanto alla decorrenza, la novità in</w:t>
      </w:r>
      <w:r w:rsidRPr="00C62B8C">
        <w:rPr>
          <w:rFonts w:ascii="Bookman Old Style" w:hAnsi="Bookman Old Style" w:cs="Arial"/>
          <w:sz w:val="22"/>
          <w:szCs w:val="22"/>
          <w:lang w:eastAsia="en-US"/>
        </w:rPr>
        <w:t xml:space="preserve"> esame è applicabile agli acquisti di partecipazioni di controllo perfezionati a decorrere dal periodo d’imposta anteriore a quello in corso all’1.1.2018 (in </w:t>
      </w:r>
      <w:r w:rsidRPr="00A31490">
        <w:rPr>
          <w:rFonts w:ascii="Bookman Old Style" w:hAnsi="Bookman Old Style" w:cs="Arial"/>
          <w:sz w:val="22"/>
          <w:szCs w:val="22"/>
          <w:lang w:eastAsia="en-US"/>
        </w:rPr>
        <w:t>generale, dal 2017) “</w:t>
      </w:r>
      <w:r w:rsidRPr="00A31490">
        <w:rPr>
          <w:rFonts w:ascii="Bookman Old Style" w:hAnsi="Bookman Old Style" w:cs="Arial"/>
          <w:i/>
          <w:iCs/>
          <w:sz w:val="22"/>
          <w:szCs w:val="22"/>
          <w:lang w:eastAsia="en-US"/>
        </w:rPr>
        <w:t>nei limiti dei</w:t>
      </w:r>
      <w:r w:rsidRPr="00C62B8C">
        <w:rPr>
          <w:rFonts w:ascii="Bookman Old Style" w:hAnsi="Bookman Old Style" w:cs="Arial"/>
          <w:i/>
          <w:iCs/>
          <w:sz w:val="22"/>
          <w:szCs w:val="22"/>
          <w:lang w:eastAsia="en-US"/>
        </w:rPr>
        <w:t xml:space="preserve"> disallineamenti ancora esistenti alla chiusura di detto periodo</w:t>
      </w:r>
      <w:r w:rsidRPr="00C62B8C">
        <w:rPr>
          <w:rFonts w:ascii="Bookman Old Style" w:hAnsi="Bookman Old Style" w:cs="Arial"/>
          <w:sz w:val="22"/>
          <w:szCs w:val="22"/>
          <w:lang w:eastAsia="en-US"/>
        </w:rPr>
        <w:t>”.</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sidRPr="00C62B8C">
        <w:rPr>
          <w:rFonts w:ascii="Bookman Old Style" w:hAnsi="Bookman Old Style" w:cs="Arial"/>
          <w:sz w:val="22"/>
          <w:szCs w:val="22"/>
          <w:lang w:eastAsia="en-US"/>
        </w:rPr>
        <w:t>Con un apposito Provvedimento l’Agenzia</w:t>
      </w:r>
      <w:r w:rsidRPr="00600F55">
        <w:rPr>
          <w:rFonts w:ascii="Bookman Old Style" w:hAnsi="Bookman Old Style" w:cs="Arial"/>
          <w:sz w:val="22"/>
          <w:szCs w:val="22"/>
          <w:lang w:eastAsia="en-US"/>
        </w:rPr>
        <w:t xml:space="preserve"> delle Entrate definirà le modalità attuative delle nuove</w:t>
      </w:r>
      <w:r>
        <w:rPr>
          <w:rFonts w:ascii="Bookman Old Style" w:hAnsi="Bookman Old Style" w:cs="Arial"/>
          <w:sz w:val="22"/>
          <w:szCs w:val="22"/>
          <w:lang w:eastAsia="en-US"/>
        </w:rPr>
        <w:t xml:space="preserve"> </w:t>
      </w:r>
      <w:r w:rsidRPr="00600F55">
        <w:rPr>
          <w:rFonts w:ascii="Bookman Old Style" w:hAnsi="Bookman Old Style" w:cs="Arial"/>
          <w:sz w:val="22"/>
          <w:szCs w:val="22"/>
          <w:lang w:eastAsia="en-US"/>
        </w:rPr>
        <w:t>disposizioni.</w:t>
      </w:r>
    </w:p>
    <w:p w:rsidR="006649DC" w:rsidRPr="00A31490" w:rsidRDefault="006649DC" w:rsidP="003C2133">
      <w:pPr>
        <w:autoSpaceDE w:val="0"/>
        <w:autoSpaceDN w:val="0"/>
        <w:adjustRightInd w:val="0"/>
        <w:jc w:val="both"/>
        <w:rPr>
          <w:rFonts w:ascii="Bookman Old Style" w:hAnsi="Bookman Old Style" w:cs="Arial"/>
          <w:bCs/>
          <w:sz w:val="22"/>
          <w:szCs w:val="22"/>
          <w:lang w:eastAsia="en-US"/>
        </w:rPr>
      </w:pPr>
    </w:p>
    <w:p w:rsidR="006649DC" w:rsidRPr="00A31490" w:rsidRDefault="006649DC" w:rsidP="003C2133">
      <w:pPr>
        <w:autoSpaceDE w:val="0"/>
        <w:autoSpaceDN w:val="0"/>
        <w:adjustRightInd w:val="0"/>
        <w:jc w:val="both"/>
        <w:rPr>
          <w:rFonts w:ascii="Bookman Old Style" w:hAnsi="Bookman Old Style" w:cs="Arial"/>
          <w:bCs/>
          <w:i/>
          <w:sz w:val="22"/>
          <w:szCs w:val="22"/>
          <w:lang w:eastAsia="en-US"/>
        </w:rPr>
      </w:pPr>
      <w:r w:rsidRPr="00A31490">
        <w:rPr>
          <w:rFonts w:ascii="Bookman Old Style" w:hAnsi="Bookman Old Style" w:cs="Arial"/>
          <w:bCs/>
          <w:i/>
          <w:sz w:val="22"/>
          <w:szCs w:val="22"/>
          <w:lang w:eastAsia="en-US"/>
        </w:rPr>
        <w:t>Differimento dell’iri</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hAnsi="Bookman Old Style" w:cs="Arial"/>
          <w:sz w:val="22"/>
          <w:szCs w:val="22"/>
          <w:lang w:eastAsia="en-US"/>
        </w:rPr>
        <w:t>Il co. 1063, L. 205/2017 differisce a</w:t>
      </w:r>
      <w:r w:rsidRPr="00A31490">
        <w:rPr>
          <w:rFonts w:ascii="Bookman Old Style" w:hAnsi="Bookman Old Style" w:cs="Arial"/>
          <w:bCs/>
          <w:sz w:val="22"/>
          <w:szCs w:val="22"/>
          <w:lang w:eastAsia="en-US"/>
        </w:rPr>
        <w:t xml:space="preserve">l 2018 </w:t>
      </w:r>
      <w:r w:rsidRPr="00A31490">
        <w:rPr>
          <w:rFonts w:ascii="Bookman Old Style" w:hAnsi="Bookman Old Style" w:cs="Arial"/>
          <w:sz w:val="22"/>
          <w:szCs w:val="22"/>
          <w:lang w:eastAsia="en-US"/>
        </w:rPr>
        <w:t>l’applicazione dell’Imposta sul reddito d’impresa (IRI).</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p>
    <w:p w:rsidR="006649DC" w:rsidRPr="00A31490" w:rsidRDefault="006649DC" w:rsidP="003C2133">
      <w:pPr>
        <w:autoSpaceDE w:val="0"/>
        <w:autoSpaceDN w:val="0"/>
        <w:adjustRightInd w:val="0"/>
        <w:jc w:val="both"/>
        <w:rPr>
          <w:rFonts w:ascii="Bookman Old Style" w:hAnsi="Bookman Old Style" w:cs="Arial"/>
          <w:bCs/>
          <w:i/>
          <w:sz w:val="22"/>
          <w:szCs w:val="22"/>
          <w:lang w:eastAsia="en-US"/>
        </w:rPr>
      </w:pPr>
      <w:r w:rsidRPr="00A31490">
        <w:rPr>
          <w:rFonts w:ascii="Bookman Old Style" w:hAnsi="Bookman Old Style" w:cs="Arial"/>
          <w:bCs/>
          <w:i/>
          <w:sz w:val="22"/>
          <w:szCs w:val="22"/>
          <w:lang w:eastAsia="en-US"/>
        </w:rPr>
        <w:t>Sabatini-ter</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hAnsi="Bookman Old Style" w:cs="Arial"/>
          <w:sz w:val="22"/>
          <w:szCs w:val="22"/>
          <w:lang w:eastAsia="en-US"/>
        </w:rPr>
        <w:t>I co. da 40 a 42, L. 205/2017 provvedono al rifinanziamento della cd. Sabatini-ter di cui all’art. 2, D.L. 69/2013.</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hAnsi="Bookman Old Style" w:cs="Arial"/>
          <w:sz w:val="22"/>
          <w:szCs w:val="22"/>
          <w:lang w:eastAsia="en-US"/>
        </w:rPr>
        <w:t xml:space="preserve">Nello specifico, </w:t>
      </w:r>
      <w:r w:rsidRPr="00A31490">
        <w:rPr>
          <w:rFonts w:ascii="Bookman Old Style" w:hAnsi="Bookman Old Style" w:cs="Arial"/>
          <w:bCs/>
          <w:sz w:val="22"/>
          <w:szCs w:val="22"/>
          <w:lang w:eastAsia="en-US"/>
        </w:rPr>
        <w:t>fino ad esaurimento dei fondi disponibili</w:t>
      </w:r>
      <w:r w:rsidRPr="00A31490">
        <w:rPr>
          <w:rFonts w:ascii="Bookman Old Style" w:hAnsi="Bookman Old Style" w:cs="Arial"/>
          <w:sz w:val="22"/>
          <w:szCs w:val="22"/>
          <w:lang w:eastAsia="en-US"/>
        </w:rPr>
        <w:t>, è concesso - alle PMI che acquisiscono (in proprietà o in leasing) beni strumentali nuovi – un contributo in conto esercizio a parziale copertura degli interessi relativi al finanziamento stipulato le predette acquisizioni.</w:t>
      </w:r>
    </w:p>
    <w:p w:rsidR="006649DC" w:rsidRPr="00A31490" w:rsidRDefault="006649DC" w:rsidP="003C2133">
      <w:pPr>
        <w:autoSpaceDE w:val="0"/>
        <w:autoSpaceDN w:val="0"/>
        <w:adjustRightInd w:val="0"/>
        <w:jc w:val="both"/>
        <w:rPr>
          <w:rFonts w:ascii="Bookman Old Style" w:hAnsi="Bookman Old Style" w:cs="Arial"/>
          <w:i/>
          <w:iCs/>
          <w:sz w:val="22"/>
          <w:szCs w:val="22"/>
          <w:lang w:eastAsia="en-US"/>
        </w:rPr>
      </w:pPr>
      <w:r w:rsidRPr="00A31490">
        <w:rPr>
          <w:rFonts w:ascii="Bookman Old Style" w:hAnsi="Bookman Old Style" w:cs="Arial"/>
          <w:sz w:val="22"/>
          <w:szCs w:val="22"/>
          <w:lang w:eastAsia="en-US"/>
        </w:rPr>
        <w:t xml:space="preserve">Di conseguenza il termine per l’acquisto dei suddetti beni è prorogato </w:t>
      </w:r>
      <w:r w:rsidRPr="00A31490">
        <w:rPr>
          <w:rFonts w:ascii="Bookman Old Style" w:hAnsi="Bookman Old Style" w:cs="Arial"/>
          <w:i/>
          <w:iCs/>
          <w:sz w:val="22"/>
          <w:szCs w:val="22"/>
          <w:lang w:eastAsia="en-US"/>
        </w:rPr>
        <w:t>“fino alla data dell’avvenuto esaurimento delle risorse disponibili”.</w:t>
      </w:r>
    </w:p>
    <w:p w:rsidR="006649DC"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hAnsi="Bookman Old Style" w:cs="Arial"/>
          <w:sz w:val="22"/>
          <w:szCs w:val="22"/>
          <w:lang w:eastAsia="en-US"/>
        </w:rPr>
        <w:t xml:space="preserve">Una parte delle risorse disponibili è riservata agli investimenti effettuati dalle </w:t>
      </w:r>
      <w:r w:rsidRPr="00A31490">
        <w:rPr>
          <w:rFonts w:ascii="Bookman Old Style" w:hAnsi="Bookman Old Style" w:cs="Arial"/>
          <w:bCs/>
          <w:sz w:val="22"/>
          <w:szCs w:val="22"/>
          <w:lang w:eastAsia="en-US"/>
        </w:rPr>
        <w:t xml:space="preserve">micro, piccole / medie imprese </w:t>
      </w:r>
      <w:r w:rsidRPr="00A31490">
        <w:rPr>
          <w:rFonts w:ascii="Bookman Old Style" w:hAnsi="Bookman Old Style" w:cs="Arial"/>
          <w:sz w:val="22"/>
          <w:szCs w:val="22"/>
          <w:lang w:eastAsia="en-US"/>
        </w:rPr>
        <w:t xml:space="preserve">per l’acquisto di macchinari, impianti e attrezzature nuovi di fabbrica aventi come finalità la realizzazione di investimenti in tecnologie, compresi gli investimenti in </w:t>
      </w:r>
      <w:r w:rsidRPr="00A31490">
        <w:rPr>
          <w:rFonts w:ascii="Bookman Old Style" w:hAnsi="Bookman Old Style" w:cs="Arial"/>
          <w:i/>
          <w:sz w:val="22"/>
          <w:szCs w:val="22"/>
          <w:lang w:eastAsia="en-US"/>
        </w:rPr>
        <w:t>big data</w:t>
      </w:r>
      <w:r w:rsidRPr="00A31490">
        <w:rPr>
          <w:rFonts w:ascii="Bookman Old Style" w:hAnsi="Bookman Old Style" w:cs="Arial"/>
          <w:sz w:val="22"/>
          <w:szCs w:val="22"/>
          <w:lang w:eastAsia="en-US"/>
        </w:rPr>
        <w:t xml:space="preserve">, </w:t>
      </w:r>
      <w:r w:rsidRPr="00A31490">
        <w:rPr>
          <w:rFonts w:ascii="Bookman Old Style" w:hAnsi="Bookman Old Style" w:cs="Arial"/>
          <w:i/>
          <w:sz w:val="22"/>
          <w:szCs w:val="22"/>
          <w:lang w:eastAsia="en-US"/>
        </w:rPr>
        <w:t>cloud computing</w:t>
      </w:r>
      <w:r w:rsidRPr="00A31490">
        <w:rPr>
          <w:rFonts w:ascii="Bookman Old Style" w:hAnsi="Bookman Old Style" w:cs="Arial"/>
          <w:sz w:val="22"/>
          <w:szCs w:val="22"/>
          <w:lang w:eastAsia="en-US"/>
        </w:rPr>
        <w:t>, banda ultralarga</w:t>
      </w:r>
      <w:r w:rsidRPr="00600F55">
        <w:rPr>
          <w:rFonts w:ascii="Bookman Old Style" w:hAnsi="Bookman Old Style" w:cs="Arial"/>
          <w:sz w:val="22"/>
          <w:szCs w:val="22"/>
          <w:lang w:eastAsia="en-US"/>
        </w:rPr>
        <w:t xml:space="preserve">, </w:t>
      </w:r>
      <w:r w:rsidRPr="00E3293C">
        <w:rPr>
          <w:rFonts w:ascii="Bookman Old Style" w:hAnsi="Bookman Old Style" w:cs="Arial"/>
          <w:i/>
          <w:sz w:val="22"/>
          <w:szCs w:val="22"/>
          <w:lang w:eastAsia="en-US"/>
        </w:rPr>
        <w:t>cybersecurity</w:t>
      </w:r>
      <w:r w:rsidRPr="00600F55">
        <w:rPr>
          <w:rFonts w:ascii="Bookman Old Style" w:hAnsi="Bookman Old Style" w:cs="Arial"/>
          <w:sz w:val="22"/>
          <w:szCs w:val="22"/>
          <w:lang w:eastAsia="en-US"/>
        </w:rPr>
        <w:t>, robotica avanzata e meccatronica, realtà aumentata, manifattura 4D,</w:t>
      </w:r>
      <w:r>
        <w:rPr>
          <w:rFonts w:ascii="Bookman Old Style" w:hAnsi="Bookman Old Style" w:cs="Arial"/>
          <w:sz w:val="22"/>
          <w:szCs w:val="22"/>
          <w:lang w:eastAsia="en-US"/>
        </w:rPr>
        <w:t xml:space="preserve"> </w:t>
      </w:r>
      <w:r w:rsidRPr="00E3293C">
        <w:rPr>
          <w:rFonts w:ascii="Bookman Old Style" w:hAnsi="Bookman Old Style" w:cs="Arial"/>
          <w:i/>
          <w:sz w:val="22"/>
          <w:szCs w:val="22"/>
          <w:lang w:eastAsia="en-US"/>
        </w:rPr>
        <w:t>Radio frequency identification</w:t>
      </w:r>
      <w:r w:rsidRPr="00600F55">
        <w:rPr>
          <w:rFonts w:ascii="Bookman Old Style" w:hAnsi="Bookman Old Style" w:cs="Arial"/>
          <w:sz w:val="22"/>
          <w:szCs w:val="22"/>
          <w:lang w:eastAsia="en-US"/>
        </w:rPr>
        <w:t xml:space="preserve"> (RFID) e sistemi di tracciamento / pesatura dei rifiuti.</w:t>
      </w:r>
    </w:p>
    <w:p w:rsidR="006649DC" w:rsidRDefault="006649DC" w:rsidP="003C2133">
      <w:pPr>
        <w:autoSpaceDE w:val="0"/>
        <w:autoSpaceDN w:val="0"/>
        <w:adjustRightInd w:val="0"/>
        <w:jc w:val="both"/>
        <w:rPr>
          <w:rFonts w:ascii="Bookman Old Style" w:hAnsi="Bookman Old Style" w:cs="Arial"/>
          <w:b/>
          <w:bCs/>
          <w:sz w:val="22"/>
          <w:szCs w:val="22"/>
          <w:lang w:eastAsia="en-US"/>
        </w:rPr>
      </w:pPr>
    </w:p>
    <w:p w:rsidR="006649DC" w:rsidRPr="00A31490" w:rsidRDefault="006649DC" w:rsidP="003C2133">
      <w:pPr>
        <w:autoSpaceDE w:val="0"/>
        <w:autoSpaceDN w:val="0"/>
        <w:adjustRightInd w:val="0"/>
        <w:jc w:val="both"/>
        <w:rPr>
          <w:rFonts w:ascii="Bookman Old Style" w:hAnsi="Bookman Old Style" w:cs="Arial"/>
          <w:bCs/>
          <w:i/>
          <w:sz w:val="22"/>
          <w:szCs w:val="22"/>
          <w:lang w:eastAsia="en-US"/>
        </w:rPr>
      </w:pPr>
      <w:r w:rsidRPr="00A31490">
        <w:rPr>
          <w:rFonts w:ascii="Bookman Old Style" w:hAnsi="Bookman Old Style" w:cs="Arial"/>
          <w:bCs/>
          <w:i/>
          <w:sz w:val="22"/>
          <w:szCs w:val="22"/>
          <w:lang w:eastAsia="en-US"/>
        </w:rPr>
        <w:t>Erogazioni liberali ristrutturazione impianti sportivi</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Pr>
          <w:rFonts w:ascii="Bookman Old Style" w:hAnsi="Bookman Old Style" w:cs="Arial"/>
          <w:sz w:val="22"/>
          <w:szCs w:val="22"/>
          <w:lang w:eastAsia="en-US"/>
        </w:rPr>
        <w:t xml:space="preserve">Con i co. da 363 a 366, L. 205/2017 viene </w:t>
      </w:r>
      <w:r w:rsidRPr="00A31490">
        <w:rPr>
          <w:rFonts w:ascii="Bookman Old Style" w:hAnsi="Bookman Old Style" w:cs="Arial"/>
          <w:sz w:val="22"/>
          <w:szCs w:val="22"/>
          <w:lang w:eastAsia="en-US"/>
        </w:rPr>
        <w:t xml:space="preserve">introdotto un </w:t>
      </w:r>
      <w:r w:rsidRPr="00A31490">
        <w:rPr>
          <w:rFonts w:ascii="Bookman Old Style" w:hAnsi="Bookman Old Style" w:cs="Arial"/>
          <w:bCs/>
          <w:sz w:val="22"/>
          <w:szCs w:val="22"/>
          <w:lang w:eastAsia="en-US"/>
        </w:rPr>
        <w:t xml:space="preserve">credito d’imposta </w:t>
      </w:r>
      <w:r w:rsidRPr="00A31490">
        <w:rPr>
          <w:rFonts w:ascii="Bookman Old Style" w:hAnsi="Bookman Old Style" w:cs="Arial"/>
          <w:sz w:val="22"/>
          <w:szCs w:val="22"/>
          <w:lang w:eastAsia="en-US"/>
        </w:rPr>
        <w:t xml:space="preserve">a favore delle imprese che </w:t>
      </w:r>
      <w:r w:rsidRPr="00A31490">
        <w:rPr>
          <w:rFonts w:ascii="Bookman Old Style" w:hAnsi="Bookman Old Style" w:cs="Arial"/>
          <w:bCs/>
          <w:sz w:val="22"/>
          <w:szCs w:val="22"/>
          <w:lang w:eastAsia="en-US"/>
        </w:rPr>
        <w:t xml:space="preserve">effettuano nel 2018 erogazioni liberali </w:t>
      </w:r>
      <w:r w:rsidRPr="00A31490">
        <w:rPr>
          <w:rFonts w:ascii="Bookman Old Style" w:hAnsi="Bookman Old Style" w:cs="Arial"/>
          <w:sz w:val="22"/>
          <w:szCs w:val="22"/>
          <w:lang w:eastAsia="en-US"/>
        </w:rPr>
        <w:t>per interventi di restauro o di ristrutturazione di impianti sportivi pubblici, ancorché destinati ai soggetti concessionari.</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hAnsi="Bookman Old Style" w:cs="Arial"/>
          <w:sz w:val="22"/>
          <w:szCs w:val="22"/>
          <w:lang w:eastAsia="en-US"/>
        </w:rPr>
        <w:t>Il nuovo credito d’imposta spetta , nei limiti del 3 per mille  dei  ricavi  annui, nella misura del 50% delle  erogazioni  liberali  in  denaro  fino  a 40.000 euro.</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hAnsi="Bookman Old Style" w:cs="Arial"/>
          <w:sz w:val="22"/>
          <w:szCs w:val="22"/>
          <w:lang w:eastAsia="en-US"/>
        </w:rPr>
        <w:t>Esso, inoltre:</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eastAsia="SymbolOOEnc" w:hAnsi="Bookman Old Style" w:cs="SymbolOOEnc"/>
          <w:sz w:val="22"/>
          <w:szCs w:val="22"/>
          <w:lang w:eastAsia="en-US"/>
        </w:rPr>
        <w:t xml:space="preserve">- </w:t>
      </w:r>
      <w:r w:rsidRPr="00A31490">
        <w:rPr>
          <w:rFonts w:ascii="Bookman Old Style" w:hAnsi="Bookman Old Style" w:cs="Arial"/>
          <w:sz w:val="22"/>
          <w:szCs w:val="22"/>
          <w:lang w:eastAsia="en-US"/>
        </w:rPr>
        <w:t>è utilizzabile esclusivamente in compensazione tramite il mod. F24, in 3 quote annuali di pari importo;</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eastAsia="SymbolOOEnc" w:hAnsi="Bookman Old Style" w:cs="SymbolOOEnc"/>
          <w:sz w:val="22"/>
          <w:szCs w:val="22"/>
          <w:lang w:eastAsia="en-US"/>
        </w:rPr>
        <w:t xml:space="preserve">- </w:t>
      </w:r>
      <w:r w:rsidRPr="00A31490">
        <w:rPr>
          <w:rFonts w:ascii="Bookman Old Style" w:hAnsi="Bookman Old Style" w:cs="Arial"/>
          <w:sz w:val="22"/>
          <w:szCs w:val="22"/>
          <w:lang w:eastAsia="en-US"/>
        </w:rPr>
        <w:t>non rileva ai fini IRPEF / IRES / IRAP.</w:t>
      </w:r>
    </w:p>
    <w:p w:rsidR="006649DC" w:rsidRPr="00600F55"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hAnsi="Bookman Old Style" w:cs="Arial"/>
          <w:sz w:val="22"/>
          <w:szCs w:val="22"/>
          <w:lang w:eastAsia="en-US"/>
        </w:rPr>
        <w:t>Quanto agli adempimenti comunicativi, si prevede che il beneficiario dell’erogazione comunichi immediatamente all’Ufficio per lo Sport l’importo di quanto ricevuto e la relativa destinazione. Inoltre</w:t>
      </w:r>
      <w:r>
        <w:rPr>
          <w:rFonts w:ascii="Bookman Old Style" w:hAnsi="Bookman Old Style" w:cs="Arial"/>
          <w:sz w:val="22"/>
          <w:szCs w:val="22"/>
          <w:lang w:eastAsia="en-US"/>
        </w:rPr>
        <w:t>, e</w:t>
      </w:r>
      <w:r w:rsidRPr="00600F55">
        <w:rPr>
          <w:rFonts w:ascii="Bookman Old Style" w:hAnsi="Bookman Old Style" w:cs="Arial"/>
          <w:sz w:val="22"/>
          <w:szCs w:val="22"/>
          <w:lang w:eastAsia="en-US"/>
        </w:rPr>
        <w:t>ntro il 30.6 di ogni anno successivo a quello</w:t>
      </w:r>
      <w:r>
        <w:rPr>
          <w:rFonts w:ascii="Bookman Old Style" w:hAnsi="Bookman Old Style" w:cs="Arial"/>
          <w:sz w:val="22"/>
          <w:szCs w:val="22"/>
          <w:lang w:eastAsia="en-US"/>
        </w:rPr>
        <w:t xml:space="preserve"> </w:t>
      </w:r>
      <w:r w:rsidRPr="00600F55">
        <w:rPr>
          <w:rFonts w:ascii="Bookman Old Style" w:hAnsi="Bookman Old Style" w:cs="Arial"/>
          <w:sz w:val="22"/>
          <w:szCs w:val="22"/>
          <w:lang w:eastAsia="en-US"/>
        </w:rPr>
        <w:t>dell’erogazione e fino all’ultimazione dei lavori va altresì comunicato lo stato di avanzamento dei</w:t>
      </w:r>
      <w:r>
        <w:rPr>
          <w:rFonts w:ascii="Bookman Old Style" w:hAnsi="Bookman Old Style" w:cs="Arial"/>
          <w:sz w:val="22"/>
          <w:szCs w:val="22"/>
          <w:lang w:eastAsia="en-US"/>
        </w:rPr>
        <w:t xml:space="preserve"> </w:t>
      </w:r>
      <w:r w:rsidRPr="00600F55">
        <w:rPr>
          <w:rFonts w:ascii="Bookman Old Style" w:hAnsi="Bookman Old Style" w:cs="Arial"/>
          <w:sz w:val="22"/>
          <w:szCs w:val="22"/>
          <w:lang w:eastAsia="en-US"/>
        </w:rPr>
        <w:t>lavori, anche mediante una rendicontazione delle modalità di utilizzo delle somme erogate.</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sidRPr="00600F55">
        <w:rPr>
          <w:rFonts w:ascii="Bookman Old Style" w:hAnsi="Bookman Old Style" w:cs="Arial"/>
          <w:sz w:val="22"/>
          <w:szCs w:val="22"/>
          <w:lang w:eastAsia="en-US"/>
        </w:rPr>
        <w:t>Le disposizioni attuative dell’agevolazione in esame sono demandate ad un apposito DPCM.</w:t>
      </w:r>
    </w:p>
    <w:p w:rsidR="006649DC" w:rsidRDefault="006649DC" w:rsidP="003C2133">
      <w:pPr>
        <w:autoSpaceDE w:val="0"/>
        <w:autoSpaceDN w:val="0"/>
        <w:adjustRightInd w:val="0"/>
        <w:jc w:val="both"/>
        <w:rPr>
          <w:rFonts w:ascii="Bookman Old Style" w:hAnsi="Bookman Old Style" w:cs="Arial"/>
          <w:b/>
          <w:bCs/>
          <w:sz w:val="22"/>
          <w:szCs w:val="22"/>
          <w:lang w:eastAsia="en-US"/>
        </w:rPr>
      </w:pPr>
    </w:p>
    <w:p w:rsidR="006649DC" w:rsidRPr="00A31490" w:rsidRDefault="006649DC" w:rsidP="003C2133">
      <w:pPr>
        <w:autoSpaceDE w:val="0"/>
        <w:autoSpaceDN w:val="0"/>
        <w:adjustRightInd w:val="0"/>
        <w:jc w:val="both"/>
        <w:rPr>
          <w:rFonts w:ascii="Bookman Old Style" w:hAnsi="Bookman Old Style" w:cs="Arial"/>
          <w:bCs/>
          <w:sz w:val="22"/>
          <w:szCs w:val="22"/>
          <w:lang w:eastAsia="en-US"/>
        </w:rPr>
      </w:pPr>
      <w:r w:rsidRPr="00A31490">
        <w:rPr>
          <w:rFonts w:ascii="Bookman Old Style" w:hAnsi="Bookman Old Style" w:cs="Arial"/>
          <w:bCs/>
          <w:i/>
          <w:sz w:val="22"/>
          <w:szCs w:val="22"/>
          <w:lang w:eastAsia="en-US"/>
        </w:rPr>
        <w:t>Welfare</w:t>
      </w:r>
      <w:r w:rsidRPr="00A31490">
        <w:rPr>
          <w:rFonts w:ascii="Bookman Old Style" w:hAnsi="Bookman Old Style" w:cs="Arial"/>
          <w:bCs/>
          <w:sz w:val="22"/>
          <w:szCs w:val="22"/>
          <w:lang w:eastAsia="en-US"/>
        </w:rPr>
        <w:t xml:space="preserve"> aziendale: trasporto pubblico</w:t>
      </w:r>
    </w:p>
    <w:p w:rsidR="006649DC" w:rsidRPr="00A31490" w:rsidRDefault="006649DC" w:rsidP="003C2133">
      <w:pPr>
        <w:autoSpaceDE w:val="0"/>
        <w:autoSpaceDN w:val="0"/>
        <w:adjustRightInd w:val="0"/>
        <w:jc w:val="both"/>
        <w:rPr>
          <w:rFonts w:ascii="Bookman Old Style" w:hAnsi="Bookman Old Style" w:cs="Arial"/>
          <w:sz w:val="22"/>
          <w:szCs w:val="22"/>
          <w:lang w:eastAsia="en-US"/>
        </w:rPr>
      </w:pPr>
      <w:r w:rsidRPr="00A31490">
        <w:rPr>
          <w:rFonts w:ascii="Bookman Old Style" w:hAnsi="Bookman Old Style" w:cs="Arial"/>
          <w:bCs/>
          <w:sz w:val="22"/>
          <w:szCs w:val="22"/>
          <w:lang w:eastAsia="en-US"/>
        </w:rPr>
        <w:t xml:space="preserve">Con una modifica all’art. 51, D.P.R. 917/1986 (viene inserita la nuova lett. d-bis) </w:t>
      </w:r>
      <w:r w:rsidRPr="00A31490">
        <w:rPr>
          <w:rFonts w:ascii="Bookman Old Style" w:hAnsi="Bookman Old Style" w:cs="Arial"/>
          <w:sz w:val="22"/>
          <w:szCs w:val="22"/>
          <w:lang w:eastAsia="en-US"/>
        </w:rPr>
        <w:t xml:space="preserve">al co. 2 del citato art. 51) si prevede che che </w:t>
      </w:r>
      <w:r w:rsidRPr="00A31490">
        <w:rPr>
          <w:rFonts w:ascii="Bookman Old Style" w:hAnsi="Bookman Old Style" w:cs="Arial"/>
          <w:bCs/>
          <w:sz w:val="22"/>
          <w:szCs w:val="22"/>
          <w:lang w:eastAsia="en-US"/>
        </w:rPr>
        <w:t xml:space="preserve">non concorrono a formare il reddito di lavoro dipendente </w:t>
      </w:r>
      <w:r w:rsidRPr="00A31490">
        <w:rPr>
          <w:rFonts w:ascii="Bookman Old Style" w:hAnsi="Bookman Old Style" w:cs="Arial"/>
          <w:i/>
          <w:iCs/>
          <w:sz w:val="22"/>
          <w:szCs w:val="22"/>
          <w:lang w:eastAsia="en-US"/>
        </w:rPr>
        <w:t>“le somme erogate o rimborsate alla generalità o a categorie di dipendenti dal datore di lavoro o le spese da quest’ultimo</w:t>
      </w:r>
      <w:r w:rsidRPr="00600F55">
        <w:rPr>
          <w:rFonts w:ascii="Bookman Old Style" w:hAnsi="Bookman Old Style" w:cs="Arial"/>
          <w:i/>
          <w:iCs/>
          <w:sz w:val="22"/>
          <w:szCs w:val="22"/>
          <w:lang w:eastAsia="en-US"/>
        </w:rPr>
        <w:t xml:space="preserve"> direttamente sostenute, volontariamente o in conformità a disposizioni di</w:t>
      </w:r>
      <w:r>
        <w:rPr>
          <w:rFonts w:ascii="Bookman Old Style" w:hAnsi="Bookman Old Style" w:cs="Arial"/>
          <w:i/>
          <w:iCs/>
          <w:sz w:val="22"/>
          <w:szCs w:val="22"/>
          <w:lang w:eastAsia="en-US"/>
        </w:rPr>
        <w:t xml:space="preserve"> </w:t>
      </w:r>
      <w:r w:rsidRPr="00600F55">
        <w:rPr>
          <w:rFonts w:ascii="Bookman Old Style" w:hAnsi="Bookman Old Style" w:cs="Arial"/>
          <w:i/>
          <w:iCs/>
          <w:sz w:val="22"/>
          <w:szCs w:val="22"/>
          <w:lang w:eastAsia="en-US"/>
        </w:rPr>
        <w:t xml:space="preserve">contratto, di accordo o di regolamento aziendale, per l’acquisto degli </w:t>
      </w:r>
      <w:r w:rsidRPr="006927C1">
        <w:rPr>
          <w:rFonts w:ascii="Bookman Old Style" w:hAnsi="Bookman Old Style" w:cs="Arial"/>
          <w:bCs/>
          <w:i/>
          <w:iCs/>
          <w:sz w:val="22"/>
          <w:szCs w:val="22"/>
          <w:lang w:eastAsia="en-US"/>
        </w:rPr>
        <w:t>abbonamenti per il trasporto pubblico locale</w:t>
      </w:r>
      <w:r w:rsidRPr="006927C1">
        <w:rPr>
          <w:rFonts w:ascii="Bookman Old Style" w:hAnsi="Bookman Old Style" w:cs="Arial"/>
          <w:i/>
          <w:iCs/>
          <w:sz w:val="22"/>
          <w:szCs w:val="22"/>
          <w:lang w:eastAsia="en-US"/>
        </w:rPr>
        <w:t xml:space="preserve">, </w:t>
      </w:r>
      <w:r w:rsidRPr="006927C1">
        <w:rPr>
          <w:rFonts w:ascii="Bookman Old Style" w:hAnsi="Bookman Old Style" w:cs="Arial"/>
          <w:bCs/>
          <w:i/>
          <w:iCs/>
          <w:sz w:val="22"/>
          <w:szCs w:val="22"/>
          <w:lang w:eastAsia="en-US"/>
        </w:rPr>
        <w:t>regionale e interregionale del dipendente e dei familiari</w:t>
      </w:r>
      <w:r>
        <w:rPr>
          <w:rFonts w:ascii="Bookman Old Style" w:hAnsi="Bookman Old Style" w:cs="Arial"/>
          <w:bCs/>
          <w:iCs/>
          <w:sz w:val="22"/>
          <w:szCs w:val="22"/>
          <w:lang w:eastAsia="en-US"/>
        </w:rPr>
        <w:t>” (questi ultimi devono risultare fiscalmente a</w:t>
      </w:r>
      <w:r>
        <w:rPr>
          <w:rFonts w:ascii="Bookman Old Style" w:hAnsi="Bookman Old Style" w:cs="Arial"/>
          <w:sz w:val="22"/>
          <w:szCs w:val="22"/>
          <w:lang w:eastAsia="en-US"/>
        </w:rPr>
        <w:t xml:space="preserve"> carico)</w:t>
      </w:r>
      <w:r w:rsidRPr="00600F55">
        <w:rPr>
          <w:rFonts w:ascii="Bookman Old Style" w:hAnsi="Bookman Old Style" w:cs="Arial"/>
          <w:sz w:val="22"/>
          <w:szCs w:val="22"/>
          <w:lang w:eastAsia="en-US"/>
        </w:rPr>
        <w:t>.</w:t>
      </w:r>
    </w:p>
    <w:p w:rsidR="006649DC" w:rsidRPr="00DB6354" w:rsidRDefault="006649DC" w:rsidP="003C2133">
      <w:pPr>
        <w:autoSpaceDE w:val="0"/>
        <w:autoSpaceDN w:val="0"/>
        <w:adjustRightInd w:val="0"/>
        <w:jc w:val="both"/>
        <w:rPr>
          <w:rFonts w:ascii="Bookman Old Style" w:hAnsi="Bookman Old Style" w:cs="Arial"/>
          <w:bCs/>
          <w:sz w:val="22"/>
          <w:szCs w:val="22"/>
          <w:lang w:eastAsia="en-US"/>
        </w:rPr>
      </w:pPr>
      <w:r w:rsidRPr="00DB6354">
        <w:rPr>
          <w:rFonts w:ascii="Bookman Old Style" w:hAnsi="Bookman Old Style" w:cs="Arial"/>
          <w:bCs/>
          <w:sz w:val="22"/>
          <w:szCs w:val="22"/>
          <w:lang w:eastAsia="en-US"/>
        </w:rPr>
        <w:t>La novità in commento è più diffusamente trattata nella sezione dedicata alle detrazione IRPEF in favore delle persone fisiche.</w:t>
      </w: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Default="006649DC" w:rsidP="00347EDC">
      <w:pPr>
        <w:rPr>
          <w:rFonts w:ascii="Bookman Old Style" w:hAnsi="Bookman Old Style"/>
        </w:rPr>
      </w:pPr>
    </w:p>
    <w:p w:rsidR="006649DC" w:rsidRPr="003C2133" w:rsidRDefault="006649DC" w:rsidP="003C2133">
      <w:pPr>
        <w:pStyle w:val="Heading1"/>
        <w:rPr>
          <w:rFonts w:ascii="Bookman Old Style" w:hAnsi="Bookman Old Style"/>
          <w:b w:val="0"/>
        </w:rPr>
      </w:pPr>
    </w:p>
    <w:p w:rsidR="006649DC" w:rsidRPr="003C2133" w:rsidRDefault="006649DC" w:rsidP="003C2133">
      <w:pPr>
        <w:pStyle w:val="Heading1"/>
        <w:rPr>
          <w:rFonts w:ascii="Bookman Old Style" w:hAnsi="Bookman Old Style" w:cs="Arial"/>
          <w:b w:val="0"/>
          <w:bCs/>
          <w:szCs w:val="22"/>
          <w:u w:val="single"/>
          <w:lang w:eastAsia="en-US"/>
        </w:rPr>
      </w:pPr>
      <w:bookmarkStart w:id="181" w:name="_Toc506559971"/>
      <w:r w:rsidRPr="003C2133">
        <w:rPr>
          <w:rFonts w:ascii="Bookman Old Style" w:hAnsi="Bookman Old Style" w:cs="Arial"/>
          <w:b w:val="0"/>
          <w:bCs/>
          <w:szCs w:val="22"/>
          <w:u w:val="single"/>
          <w:lang w:eastAsia="en-US"/>
        </w:rPr>
        <w:t xml:space="preserve">Imposte dirette: </w:t>
      </w:r>
      <w:r w:rsidRPr="003C2133">
        <w:rPr>
          <w:rFonts w:ascii="Bookman Old Style" w:hAnsi="Bookman Old Style" w:cs="Arial"/>
          <w:b w:val="0"/>
          <w:bCs/>
          <w:i/>
          <w:szCs w:val="22"/>
          <w:u w:val="single"/>
          <w:lang w:eastAsia="en-US"/>
        </w:rPr>
        <w:t>capital gain</w:t>
      </w:r>
      <w:r w:rsidRPr="003C2133">
        <w:rPr>
          <w:rFonts w:ascii="Bookman Old Style" w:hAnsi="Bookman Old Style" w:cs="Arial"/>
          <w:b w:val="0"/>
          <w:bCs/>
          <w:szCs w:val="22"/>
          <w:u w:val="single"/>
          <w:lang w:eastAsia="en-US"/>
        </w:rPr>
        <w:t xml:space="preserve"> e dividendi</w:t>
      </w:r>
      <w:bookmarkEnd w:id="181"/>
    </w:p>
    <w:p w:rsidR="006649DC" w:rsidRDefault="006649DC" w:rsidP="003C2133">
      <w:pPr>
        <w:autoSpaceDE w:val="0"/>
        <w:autoSpaceDN w:val="0"/>
        <w:adjustRightInd w:val="0"/>
        <w:jc w:val="both"/>
        <w:rPr>
          <w:rFonts w:ascii="Bookman Old Style" w:hAnsi="Bookman Old Style" w:cs="Arial"/>
          <w:sz w:val="22"/>
          <w:szCs w:val="22"/>
          <w:lang w:eastAsia="en-US"/>
        </w:rPr>
      </w:pPr>
      <w:r w:rsidRPr="00751F13">
        <w:rPr>
          <w:rFonts w:ascii="Bookman Old Style" w:hAnsi="Bookman Old Style" w:cs="Arial"/>
          <w:sz w:val="22"/>
          <w:szCs w:val="22"/>
          <w:lang w:eastAsia="en-US"/>
        </w:rPr>
        <w:t>I co.</w:t>
      </w:r>
      <w:r>
        <w:rPr>
          <w:rFonts w:ascii="Bookman Old Style" w:hAnsi="Bookman Old Style" w:cs="Arial"/>
          <w:sz w:val="22"/>
          <w:szCs w:val="22"/>
          <w:lang w:eastAsia="en-US"/>
        </w:rPr>
        <w:t xml:space="preserve"> da 999 a 1006 della L. 27.12.2017, n. 205 modificano il regime impositivo dei:</w:t>
      </w:r>
    </w:p>
    <w:p w:rsidR="006649DC" w:rsidRDefault="006649DC" w:rsidP="003C2133">
      <w:pPr>
        <w:autoSpaceDE w:val="0"/>
        <w:autoSpaceDN w:val="0"/>
        <w:adjustRightInd w:val="0"/>
        <w:jc w:val="both"/>
        <w:rPr>
          <w:rFonts w:ascii="Bookman Old Style" w:hAnsi="Bookman Old Style" w:cs="Arial"/>
          <w:sz w:val="22"/>
          <w:szCs w:val="22"/>
          <w:lang w:eastAsia="en-US"/>
        </w:rPr>
      </w:pPr>
      <w:r>
        <w:rPr>
          <w:rFonts w:ascii="Bookman Old Style" w:hAnsi="Bookman Old Style" w:cs="Arial"/>
          <w:sz w:val="22"/>
          <w:szCs w:val="22"/>
          <w:lang w:eastAsia="en-US"/>
        </w:rPr>
        <w:t>- capital gains;</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 dividendi (inclusi gli utili derivanti da contratti di associazione in partecipazione).</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 xml:space="preserve">La disposizione uniforma il regime fiscale applicabile ai redditi di capitale e ai redditi diversi, conseguiti da persone fisiche al di fuori dell’esercizio dell’attività d’impresa in relazione al possesso o alla cessione di partecipazioni societarie, rendendo </w:t>
      </w:r>
      <w:r w:rsidRPr="00C637FA">
        <w:rPr>
          <w:rFonts w:ascii="Bookman Old Style" w:hAnsi="Bookman Old Style"/>
          <w:bCs/>
          <w:sz w:val="22"/>
          <w:szCs w:val="22"/>
          <w:lang w:eastAsia="en-US"/>
        </w:rPr>
        <w:t>irrilevante</w:t>
      </w:r>
      <w:r w:rsidRPr="00C637FA">
        <w:rPr>
          <w:rFonts w:ascii="Bookman Old Style" w:hAnsi="Bookman Old Style" w:cs="Arial"/>
          <w:sz w:val="22"/>
          <w:szCs w:val="22"/>
          <w:lang w:eastAsia="en-US"/>
        </w:rPr>
        <w:t xml:space="preserve"> la </w:t>
      </w:r>
      <w:r w:rsidRPr="00C637FA">
        <w:rPr>
          <w:rFonts w:ascii="Bookman Old Style" w:hAnsi="Bookman Old Style"/>
          <w:bCs/>
          <w:sz w:val="22"/>
          <w:szCs w:val="22"/>
          <w:lang w:eastAsia="en-US"/>
        </w:rPr>
        <w:t>natura qualificata o meno</w:t>
      </w:r>
      <w:r w:rsidRPr="00C637FA">
        <w:rPr>
          <w:rFonts w:ascii="Bookman Old Style" w:hAnsi="Bookman Old Style" w:cs="Arial"/>
          <w:sz w:val="22"/>
          <w:szCs w:val="22"/>
          <w:lang w:eastAsia="en-US"/>
        </w:rPr>
        <w:t xml:space="preserve"> della partecipazione.</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Un’altra modifica (contenuta nei co. da 1007 a 1009, L. 205/2017) riguarda i dividendi provenienti da soggetti “black list” e un’altra ancora (contenuta nei co. 43 e 44, L. 205/2017) la tassazione dei proventi da prestiti “</w:t>
      </w:r>
      <w:r w:rsidRPr="00C637FA">
        <w:rPr>
          <w:rFonts w:ascii="Bookman Old Style" w:hAnsi="Bookman Old Style" w:cs="Arial"/>
          <w:i/>
          <w:sz w:val="22"/>
          <w:szCs w:val="22"/>
          <w:lang w:eastAsia="en-US"/>
        </w:rPr>
        <w:t>pear to pear</w:t>
      </w:r>
      <w:r w:rsidRPr="00C637FA">
        <w:rPr>
          <w:rFonts w:ascii="Bookman Old Style" w:hAnsi="Bookman Old Style" w:cs="Arial"/>
          <w:sz w:val="22"/>
          <w:szCs w:val="22"/>
          <w:lang w:eastAsia="en-US"/>
        </w:rPr>
        <w:t>”.</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p>
    <w:p w:rsidR="006649DC" w:rsidRPr="00C637FA" w:rsidRDefault="006649DC" w:rsidP="003C2133">
      <w:pPr>
        <w:autoSpaceDE w:val="0"/>
        <w:autoSpaceDN w:val="0"/>
        <w:adjustRightInd w:val="0"/>
        <w:jc w:val="both"/>
        <w:rPr>
          <w:rFonts w:ascii="Bookman Old Style" w:hAnsi="Bookman Old Style" w:cs="Arial"/>
          <w:bCs/>
          <w:i/>
          <w:sz w:val="22"/>
          <w:szCs w:val="22"/>
          <w:lang w:eastAsia="en-US"/>
        </w:rPr>
      </w:pPr>
      <w:r w:rsidRPr="00C637FA">
        <w:rPr>
          <w:rFonts w:ascii="Bookman Old Style" w:hAnsi="Bookman Old Style" w:cs="Arial"/>
          <w:bCs/>
          <w:i/>
          <w:sz w:val="22"/>
          <w:szCs w:val="22"/>
          <w:lang w:eastAsia="en-US"/>
        </w:rPr>
        <w:t>Capital gains</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Con la modifica dell’art. 5, co. 2, D.Lgs. n. 461/1997 si assoggettano ad imposta sostitutiva del 26% sia le plusvalenze derivanti dalla cessione di partecipazioni qualificate (disposizione invariata) sia quelle derivanti dalla cessione di partecipazioni non qualificate (si tratta di una novità).</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Viene inoltre eliminata, con la modifica del co. 3 del citato art. 5, la previsione che richiedeva la separata indicazione in dichiarazione dei redditi delle plusvalenze / minusvalenze derivanti dalla cessione di partecipazioni (qualificate e non qualificate).</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Sono modificati anche gli artt. 6 e 7, D.Lgs. n. 461/1997 in materia di tassazione nel regime del risparmio amministrato e del risparmio gestito.</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 xml:space="preserve">In particolare, con l’abrogazione del co. 3 e la modifica del co. 5 dell’art. 68, D.P.R. 917/1986 le plusvalenze derivanti da partecipazioni </w:t>
      </w:r>
      <w:r w:rsidRPr="00C637FA">
        <w:rPr>
          <w:rFonts w:ascii="Bookman Old Style" w:hAnsi="Bookman Old Style" w:cs="Arial"/>
          <w:bCs/>
          <w:sz w:val="22"/>
          <w:szCs w:val="22"/>
          <w:lang w:eastAsia="en-US"/>
        </w:rPr>
        <w:t xml:space="preserve">sia qualificate che non qualificate </w:t>
      </w:r>
      <w:r w:rsidRPr="00C637FA">
        <w:rPr>
          <w:rFonts w:ascii="Bookman Old Style" w:hAnsi="Bookman Old Style" w:cs="Arial"/>
          <w:sz w:val="22"/>
          <w:szCs w:val="22"/>
          <w:lang w:eastAsia="en-US"/>
        </w:rPr>
        <w:t>sono sommate algebricamente alle relative minusvalenze.</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 xml:space="preserve">Di conseguenza è possibile </w:t>
      </w:r>
      <w:r w:rsidRPr="00C637FA">
        <w:rPr>
          <w:rFonts w:ascii="Bookman Old Style" w:hAnsi="Bookman Old Style" w:cs="Arial"/>
          <w:bCs/>
          <w:sz w:val="22"/>
          <w:szCs w:val="22"/>
          <w:lang w:eastAsia="en-US"/>
        </w:rPr>
        <w:t xml:space="preserve">compensare </w:t>
      </w:r>
      <w:r w:rsidRPr="00C637FA">
        <w:rPr>
          <w:rFonts w:ascii="Bookman Old Style" w:hAnsi="Bookman Old Style" w:cs="Arial"/>
          <w:sz w:val="22"/>
          <w:szCs w:val="22"/>
          <w:lang w:eastAsia="en-US"/>
        </w:rPr>
        <w:t>le plusvalenze e le minusvalenze derivanti da partecipazioni qualificate con quelle da partecipazioni non qualificate.</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p>
    <w:p w:rsidR="006649DC" w:rsidRPr="00C637FA" w:rsidRDefault="006649DC" w:rsidP="003C2133">
      <w:pPr>
        <w:autoSpaceDE w:val="0"/>
        <w:autoSpaceDN w:val="0"/>
        <w:adjustRightInd w:val="0"/>
        <w:jc w:val="both"/>
        <w:rPr>
          <w:rFonts w:ascii="Bookman Old Style" w:hAnsi="Bookman Old Style" w:cs="Arial"/>
          <w:bCs/>
          <w:i/>
          <w:sz w:val="22"/>
          <w:szCs w:val="22"/>
          <w:lang w:eastAsia="en-US"/>
        </w:rPr>
      </w:pPr>
      <w:r w:rsidRPr="00C637FA">
        <w:rPr>
          <w:rFonts w:ascii="Bookman Old Style" w:hAnsi="Bookman Old Style" w:cs="Arial"/>
          <w:bCs/>
          <w:i/>
          <w:sz w:val="22"/>
          <w:szCs w:val="22"/>
          <w:lang w:eastAsia="en-US"/>
        </w:rPr>
        <w:t>Dividendi</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Viene modificato l’art. 27, co. 1, D.P.R. n. 600/1973, in modo che</w:t>
      </w:r>
      <w:r w:rsidRPr="00C637FA">
        <w:rPr>
          <w:rFonts w:ascii="Bookman Old Style" w:hAnsi="Bookman Old Style" w:cs="Arial"/>
          <w:bCs/>
          <w:sz w:val="22"/>
          <w:szCs w:val="22"/>
          <w:lang w:eastAsia="en-US"/>
        </w:rPr>
        <w:t xml:space="preserve"> la ritenuta a titolo di imposta sostitutiva del 26% </w:t>
      </w:r>
      <w:r w:rsidRPr="00C637FA">
        <w:rPr>
          <w:rFonts w:ascii="Bookman Old Style" w:hAnsi="Bookman Old Style" w:cs="Arial"/>
          <w:sz w:val="22"/>
          <w:szCs w:val="22"/>
          <w:lang w:eastAsia="en-US"/>
        </w:rPr>
        <w:t>da parte del soggetto IRES erogatore di dividendi sia applicata non solo alle partecipazioni non qualificate (disposizione invariata) ma anche alle partecipazioni qualificate (novità).</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 xml:space="preserve">Inoltre, la ritenuta è applicabile anche agli utili derivanti da </w:t>
      </w:r>
      <w:r w:rsidRPr="00C637FA">
        <w:rPr>
          <w:rFonts w:ascii="Bookman Old Style" w:hAnsi="Bookman Old Style" w:cs="Arial"/>
          <w:bCs/>
          <w:sz w:val="22"/>
          <w:szCs w:val="22"/>
          <w:lang w:eastAsia="en-US"/>
        </w:rPr>
        <w:t>contratti di associazione in partecipazione, indipendentemente dal valore dell’apporto</w:t>
      </w:r>
      <w:r w:rsidRPr="00C637FA">
        <w:rPr>
          <w:rFonts w:ascii="Bookman Old Style" w:hAnsi="Bookman Old Style" w:cs="Arial"/>
          <w:sz w:val="22"/>
          <w:szCs w:val="22"/>
          <w:lang w:eastAsia="en-US"/>
        </w:rPr>
        <w:t>, ossia sia a contratti con apporti “non qualificati” sia a contratto con apporti “qualificati”.</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Alle remunerazioni corrisposte a persone fisiche residenti relative a contratti di associazione in partecipazione in cui l’associante è non residente, è operata una ritenuta del 26% sia nel caso in cui gli stessi siano “qualificati” (disposizione invariata) sia nel caso in cui gli stessi siano “non qualificati” (novità).</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In presenza di un associante in contabilità semplificata gli utili concorrono a formare il reddito dell’associato nella misura del 58,14% nel caso in cui l’apporto è superiore al 25% della somma delle rimanenze finali di cui agli artt. 92 e 93, D.P.R. 917/1986 e del costo residuo dei beni ammortizzabili di cui all’art. 110, D.P.R. 917/1986 (nuova formulazione del co. 2 dell’art. 47, D.P.R. 917/1986).</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p>
    <w:p w:rsidR="006649DC" w:rsidRPr="00C637FA" w:rsidRDefault="006649DC" w:rsidP="003C2133">
      <w:pPr>
        <w:autoSpaceDE w:val="0"/>
        <w:autoSpaceDN w:val="0"/>
        <w:adjustRightInd w:val="0"/>
        <w:jc w:val="both"/>
        <w:rPr>
          <w:rFonts w:ascii="Bookman Old Style" w:hAnsi="Bookman Old Style" w:cs="Arial"/>
          <w:bCs/>
          <w:i/>
          <w:sz w:val="22"/>
          <w:szCs w:val="22"/>
          <w:lang w:eastAsia="en-US"/>
        </w:rPr>
      </w:pPr>
      <w:r w:rsidRPr="00C637FA">
        <w:rPr>
          <w:rFonts w:ascii="Bookman Old Style" w:hAnsi="Bookman Old Style" w:cs="Arial"/>
          <w:bCs/>
          <w:i/>
          <w:sz w:val="22"/>
          <w:szCs w:val="22"/>
          <w:lang w:eastAsia="en-US"/>
        </w:rPr>
        <w:t>Decorrenza</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Le nuove disposizioni sopra esaminate – sia quelle relative ai capitali gain sia quelle relative a dividendi e utili da contratti di associazione in partecipazione - sono applicabili ai:</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 xml:space="preserve">- </w:t>
      </w:r>
      <w:r w:rsidRPr="00C637FA">
        <w:rPr>
          <w:rFonts w:ascii="Bookman Old Style" w:hAnsi="Bookman Old Style" w:cs="Arial"/>
          <w:bCs/>
          <w:sz w:val="22"/>
          <w:szCs w:val="22"/>
          <w:lang w:eastAsia="en-US"/>
        </w:rPr>
        <w:t>redditi diversi realizzati a decorrere dall’1.1.2019</w:t>
      </w:r>
      <w:r w:rsidRPr="00C637FA">
        <w:rPr>
          <w:rFonts w:ascii="Bookman Old Style" w:hAnsi="Bookman Old Style" w:cs="Arial"/>
          <w:sz w:val="22"/>
          <w:szCs w:val="22"/>
          <w:lang w:eastAsia="en-US"/>
        </w:rPr>
        <w:t>;</w:t>
      </w:r>
    </w:p>
    <w:p w:rsidR="006649DC" w:rsidRPr="00C637FA" w:rsidRDefault="006649DC" w:rsidP="003C2133">
      <w:pPr>
        <w:autoSpaceDE w:val="0"/>
        <w:autoSpaceDN w:val="0"/>
        <w:adjustRightInd w:val="0"/>
        <w:jc w:val="both"/>
        <w:rPr>
          <w:rFonts w:ascii="Bookman Old Style" w:hAnsi="Bookman Old Style" w:cs="Arial"/>
          <w:bCs/>
          <w:sz w:val="22"/>
          <w:szCs w:val="22"/>
          <w:lang w:eastAsia="en-US"/>
        </w:rPr>
      </w:pPr>
      <w:r w:rsidRPr="00C637FA">
        <w:rPr>
          <w:rFonts w:ascii="Bookman Old Style" w:hAnsi="Bookman Old Style" w:cs="Arial"/>
          <w:sz w:val="22"/>
          <w:szCs w:val="22"/>
          <w:lang w:eastAsia="en-US"/>
        </w:rPr>
        <w:t xml:space="preserve">- </w:t>
      </w:r>
      <w:r w:rsidRPr="00C637FA">
        <w:rPr>
          <w:rFonts w:ascii="Bookman Old Style" w:hAnsi="Bookman Old Style" w:cs="Arial"/>
          <w:bCs/>
          <w:sz w:val="22"/>
          <w:szCs w:val="22"/>
          <w:lang w:eastAsia="en-US"/>
        </w:rPr>
        <w:t>redditi di capitale percepiti a partire dall’1.1.2018.</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 xml:space="preserve">Quanto a questi ultimi, si stabilisce altresì che alle distribuzioni di utili derivanti da partecipazioni qualificate in società o enti soggetti all’IRES formatesi con </w:t>
      </w:r>
      <w:r w:rsidRPr="00C637FA">
        <w:rPr>
          <w:rFonts w:ascii="Bookman Old Style" w:hAnsi="Bookman Old Style" w:cs="Arial"/>
          <w:bCs/>
          <w:sz w:val="22"/>
          <w:szCs w:val="22"/>
          <w:lang w:eastAsia="en-US"/>
        </w:rPr>
        <w:t>utili prodotti fino all’esercizio in corso al 31.12.2017</w:t>
      </w:r>
      <w:r w:rsidRPr="00C637FA">
        <w:rPr>
          <w:rFonts w:ascii="Bookman Old Style" w:hAnsi="Bookman Old Style" w:cs="Arial"/>
          <w:sz w:val="22"/>
          <w:szCs w:val="22"/>
          <w:lang w:eastAsia="en-US"/>
        </w:rPr>
        <w:t xml:space="preserve">, deliberate dal 2018 al 2022, sono applicabili le regole di cui al D.M. 26.5.2017, ossia la </w:t>
      </w:r>
      <w:r w:rsidRPr="00C637FA">
        <w:rPr>
          <w:rFonts w:ascii="Bookman Old Style" w:hAnsi="Bookman Old Style" w:cs="Arial"/>
          <w:bCs/>
          <w:sz w:val="22"/>
          <w:szCs w:val="22"/>
          <w:lang w:eastAsia="en-US"/>
        </w:rPr>
        <w:t xml:space="preserve">parziale tassazione </w:t>
      </w:r>
      <w:r w:rsidRPr="00C637FA">
        <w:rPr>
          <w:rFonts w:ascii="Bookman Old Style" w:hAnsi="Bookman Old Style" w:cs="Arial"/>
          <w:sz w:val="22"/>
          <w:szCs w:val="22"/>
          <w:lang w:eastAsia="en-US"/>
        </w:rPr>
        <w:t>degli stessi in base alle percentuali fissate dal citato Decreto.</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Sul punto si attende un chiarimento, almeno in via interpretativa, in quanto per le delibere adottate prima della norma che introduce un periodo transitorio (2018-2022, ma limitatamente alle delibere adottate dall’ 1.1.2018), come quelle adottate durante il 2017 ma con pagamento del dividendo nel 2018, si avrebbe una tassazione al 26% (applicabile agli utili incassati dall’ 1.1.2018) anche per gli utili derivanti da partecipazioni qualificate detenute al di fuori dell’esercizio di attività di impresa.</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Si ricorda che, poiché la Legge di stabilità 2016 (art. 1, co. 64, L. 208/2015) ha ridotto l’aliquota IRES (dal 27,5% al 24%), con decorrenza dal periodo d’imposta successivo a quello in corso al 31.12.2016 (in pratica, dal 2017) il MEF ha rideterminato (in aumento, dal 49,72% al 58,14%) le percentuali di concorrenza alla formazione del reddito complessivo dei soci dei dividendi e delle plusvalenze di natura finanziaria, in modo da mantenere invariata la tassazione teorica complessiva in capo al socio persona fisica.</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bCs/>
          <w:sz w:val="22"/>
          <w:szCs w:val="22"/>
          <w:lang w:eastAsia="en-US"/>
        </w:rPr>
        <w:t xml:space="preserve">Infatti, la misura del 58,14% garantisce un prelievo aggiuntivo IRPEF in modo che il prelievo complessivo IRES-IRPEF non superi il 43% </w:t>
      </w:r>
      <w:r w:rsidRPr="00C637FA">
        <w:rPr>
          <w:rFonts w:ascii="Bookman Old Style" w:hAnsi="Bookman Old Style" w:cs="Arial"/>
          <w:sz w:val="22"/>
          <w:szCs w:val="22"/>
          <w:lang w:eastAsia="en-US"/>
        </w:rPr>
        <w:t>(aliquota marginale IRPEF).</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8"/>
      </w:tblGrid>
      <w:tr w:rsidR="006649DC" w:rsidRPr="00C637FA" w:rsidTr="0065205C">
        <w:tc>
          <w:tcPr>
            <w:tcW w:w="9778" w:type="dxa"/>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Esempio 1</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Considerando un utile ante IRES pari a 100:</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 l’IRES dovuta è pari a 24;</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 il dividendo distribuibile al socio è pari a 76;</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 il prelievo aggiuntivo IRPEF deve essere pari a 19 (43 – 24);</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 la misura del 58,14% applicata al dividendo di 76 (importo distribuito) determina la concorrenza al reddito complessivo pari a 44,186, che assoggettato all’aliquota marginale IRPEF del 43% garantisce il prelievo IRPEF pari a 19 (44,186 x 43%).</w:t>
            </w:r>
          </w:p>
        </w:tc>
      </w:tr>
    </w:tbl>
    <w:p w:rsidR="006649DC" w:rsidRPr="00C637FA" w:rsidRDefault="006649DC" w:rsidP="003C2133">
      <w:pPr>
        <w:autoSpaceDE w:val="0"/>
        <w:autoSpaceDN w:val="0"/>
        <w:adjustRightInd w:val="0"/>
        <w:jc w:val="both"/>
        <w:rPr>
          <w:rFonts w:ascii="Bookman Old Style" w:hAnsi="Bookman Old Style" w:cs="Arial"/>
          <w:sz w:val="22"/>
          <w:szCs w:val="22"/>
          <w:lang w:eastAsia="en-US"/>
        </w:rPr>
      </w:pPr>
    </w:p>
    <w:p w:rsidR="006649DC" w:rsidRPr="00C637FA" w:rsidRDefault="006649DC" w:rsidP="003C2133">
      <w:pPr>
        <w:autoSpaceDE w:val="0"/>
        <w:autoSpaceDN w:val="0"/>
        <w:adjustRightInd w:val="0"/>
        <w:jc w:val="both"/>
        <w:rPr>
          <w:rFonts w:ascii="Bookman Old Style" w:hAnsi="Bookman Old Style" w:cs="Arial"/>
          <w:bCs/>
          <w:sz w:val="22"/>
          <w:szCs w:val="22"/>
          <w:lang w:eastAsia="en-US"/>
        </w:rPr>
      </w:pPr>
      <w:r w:rsidRPr="00C637FA">
        <w:rPr>
          <w:rFonts w:ascii="Bookman Old Style" w:hAnsi="Bookman Old Style" w:cs="Arial"/>
          <w:sz w:val="22"/>
          <w:szCs w:val="22"/>
          <w:lang w:eastAsia="en-US"/>
        </w:rPr>
        <w:t xml:space="preserve">Come disposto dall’art. 1, co. 1, D.M. 26.5.2017 la nuova percentuale del 58,14% va applicata agli utili / proventi equiparati </w:t>
      </w:r>
      <w:r w:rsidRPr="00C637FA">
        <w:rPr>
          <w:rFonts w:ascii="Bookman Old Style" w:hAnsi="Bookman Old Style" w:cs="Arial"/>
          <w:bCs/>
          <w:sz w:val="22"/>
          <w:szCs w:val="22"/>
          <w:lang w:eastAsia="en-US"/>
        </w:rPr>
        <w:t>formati</w:t>
      </w:r>
      <w:r w:rsidRPr="00C637FA">
        <w:rPr>
          <w:rFonts w:ascii="Bookman Old Style" w:hAnsi="Bookman Old Style" w:cs="Arial"/>
          <w:sz w:val="22"/>
          <w:szCs w:val="22"/>
          <w:lang w:eastAsia="en-US"/>
        </w:rPr>
        <w:t xml:space="preserve"> con </w:t>
      </w:r>
      <w:r w:rsidRPr="00C637FA">
        <w:rPr>
          <w:rFonts w:ascii="Bookman Old Style" w:hAnsi="Bookman Old Style" w:cs="Arial"/>
          <w:bCs/>
          <w:sz w:val="22"/>
          <w:szCs w:val="22"/>
          <w:lang w:eastAsia="en-US"/>
        </w:rPr>
        <w:t>utili prodotti dalla società a partire dall’esercizio successivo a quello in corso al 31.12.2016 (dal 2017, per i soggetti solari).</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 xml:space="preserve">A decorrere dalle delibere di distribuzione successive a quella avente ad oggetto l’utile 2016, è previsto che i dividendi distribuiti si considerano </w:t>
      </w:r>
      <w:r w:rsidRPr="00C637FA">
        <w:rPr>
          <w:rFonts w:ascii="Bookman Old Style" w:hAnsi="Bookman Old Style" w:cs="Arial"/>
          <w:bCs/>
          <w:sz w:val="22"/>
          <w:szCs w:val="22"/>
          <w:lang w:eastAsia="en-US"/>
        </w:rPr>
        <w:t>prioritariamente formati con utili prodotti fino all’esercizio 2007</w:t>
      </w:r>
      <w:r w:rsidRPr="00C637FA">
        <w:rPr>
          <w:rFonts w:ascii="Bookman Old Style" w:hAnsi="Bookman Old Style" w:cs="Arial"/>
          <w:sz w:val="22"/>
          <w:szCs w:val="22"/>
          <w:lang w:eastAsia="en-US"/>
        </w:rPr>
        <w:t xml:space="preserve">, ossia concorrenti al reddito complessivo nella misura del 40% e </w:t>
      </w:r>
      <w:r w:rsidRPr="00C637FA">
        <w:rPr>
          <w:rFonts w:ascii="Bookman Old Style" w:hAnsi="Bookman Old Style" w:cs="Arial"/>
          <w:bCs/>
          <w:sz w:val="22"/>
          <w:szCs w:val="22"/>
          <w:lang w:eastAsia="en-US"/>
        </w:rPr>
        <w:t>poi fino all’esercizio 2016</w:t>
      </w:r>
      <w:r w:rsidRPr="00C637FA">
        <w:rPr>
          <w:rFonts w:ascii="Bookman Old Style" w:hAnsi="Bookman Old Style" w:cs="Arial"/>
          <w:sz w:val="22"/>
          <w:szCs w:val="22"/>
          <w:lang w:eastAsia="en-US"/>
        </w:rPr>
        <w:t>, ossia concorrenti al reddito complessivo nella misura del 49,72%.</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8"/>
      </w:tblGrid>
      <w:tr w:rsidR="006649DC" w:rsidRPr="00C637FA" w:rsidTr="0065205C">
        <w:tc>
          <w:tcPr>
            <w:tcW w:w="9778" w:type="dxa"/>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bCs/>
                <w:lang w:eastAsia="en-US"/>
              </w:rPr>
              <w:t>Esempio 2</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bCs/>
                <w:lang w:eastAsia="en-US"/>
              </w:rPr>
              <w:t>Il patrimonio netto della Alfa S.r.l. (costituita nel 2010) è così composto:</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bCs/>
                <w:lang w:eastAsia="en-US"/>
              </w:rPr>
              <w:t>Capitale sociale € 10.000</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bCs/>
                <w:lang w:eastAsia="en-US"/>
              </w:rPr>
              <w:t>Riserva legale € 2.000</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bCs/>
                <w:lang w:eastAsia="en-US"/>
              </w:rPr>
              <w:t>Riserva straordinaria € 40.000</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bCs/>
                <w:lang w:eastAsia="en-US"/>
              </w:rPr>
              <w:t>Utile esercizio 2017 € 15.000 (accantonato a riserva)</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bCs/>
                <w:lang w:eastAsia="en-US"/>
              </w:rPr>
              <w:t>In data xxxx.2018 la società delibera la distribuzione della riserva (di utili) per un importo pari a € 27.000.</w:t>
            </w:r>
          </w:p>
          <w:p w:rsidR="006649DC" w:rsidRPr="0065205C" w:rsidRDefault="006649DC" w:rsidP="0065205C">
            <w:pPr>
              <w:autoSpaceDE w:val="0"/>
              <w:autoSpaceDN w:val="0"/>
              <w:adjustRightInd w:val="0"/>
              <w:jc w:val="both"/>
              <w:rPr>
                <w:rFonts w:ascii="Bookman Old Style" w:hAnsi="Bookman Old Style" w:cs="Arial"/>
                <w:bCs/>
                <w:lang w:eastAsia="en-US"/>
              </w:rPr>
            </w:pPr>
            <w:r w:rsidRPr="0065205C">
              <w:rPr>
                <w:rFonts w:ascii="Bookman Old Style" w:hAnsi="Bookman Old Style" w:cs="Arial"/>
                <w:bCs/>
                <w:lang w:eastAsia="en-US"/>
              </w:rPr>
              <w:t>L’ammontare in distribuzione è considerato prioritariamente prelevato dagli utili formati fino al 2016. Di conseguenza quanto percepito dai singoli soci concorrerà a formare il relativo reddito in misura pari al 49,72%.</w:t>
            </w:r>
          </w:p>
          <w:p w:rsidR="006649DC" w:rsidRPr="0065205C" w:rsidRDefault="006649DC" w:rsidP="0065205C">
            <w:pPr>
              <w:autoSpaceDE w:val="0"/>
              <w:autoSpaceDN w:val="0"/>
              <w:adjustRightInd w:val="0"/>
              <w:jc w:val="both"/>
              <w:rPr>
                <w:rFonts w:ascii="Bookman Old Style" w:hAnsi="Bookman Old Style" w:cs="Arial"/>
                <w:bCs/>
                <w:lang w:eastAsia="en-US"/>
              </w:rPr>
            </w:pP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Come chiarito dalla C.M. 13.3.2009, n. 8/E la disposizione in commento va coordinata con l’art. 47, co. 1, ultimo periodo, D.P.R. 917/1986 il quale prevede che – indipendentemente dalla delibera assembleare – si presumono ai fini fiscali prioritariamente distribuiti l’utile d’esercizio e le riserve di utili.</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Quindi ai percettori del dividendo andrà comunicata sia la natura della riserva distribuita (utili o capitale) ma anche il regime fiscale applicabile.</w:t>
            </w:r>
          </w:p>
        </w:tc>
      </w:tr>
    </w:tbl>
    <w:p w:rsidR="006649DC" w:rsidRPr="00C637FA" w:rsidRDefault="006649DC" w:rsidP="003C2133">
      <w:pPr>
        <w:autoSpaceDE w:val="0"/>
        <w:autoSpaceDN w:val="0"/>
        <w:adjustRightInd w:val="0"/>
        <w:jc w:val="both"/>
        <w:rPr>
          <w:rFonts w:ascii="Bookman Old Style" w:hAnsi="Bookman Old Style" w:cs="Arial"/>
          <w:sz w:val="22"/>
          <w:szCs w:val="22"/>
          <w:lang w:eastAsia="en-US"/>
        </w:rPr>
      </w:pP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 xml:space="preserve">La nuova percentuale del 58,14% risulta applicabile anche ai </w:t>
      </w:r>
      <w:r w:rsidRPr="00C637FA">
        <w:rPr>
          <w:rFonts w:ascii="Bookman Old Style" w:hAnsi="Bookman Old Style" w:cs="Arial"/>
          <w:bCs/>
          <w:sz w:val="22"/>
          <w:szCs w:val="22"/>
          <w:lang w:eastAsia="en-US"/>
        </w:rPr>
        <w:t>redditi diversi di natura finanziaria (</w:t>
      </w:r>
      <w:r w:rsidRPr="00C637FA">
        <w:rPr>
          <w:rFonts w:ascii="Bookman Old Style" w:hAnsi="Bookman Old Style" w:cs="Arial"/>
          <w:bCs/>
          <w:i/>
          <w:iCs/>
          <w:sz w:val="22"/>
          <w:szCs w:val="22"/>
          <w:lang w:eastAsia="en-US"/>
        </w:rPr>
        <w:t>capital gains</w:t>
      </w:r>
      <w:r w:rsidRPr="00C637FA">
        <w:rPr>
          <w:rFonts w:ascii="Bookman Old Style" w:hAnsi="Bookman Old Style" w:cs="Arial"/>
          <w:bCs/>
          <w:sz w:val="22"/>
          <w:szCs w:val="22"/>
          <w:lang w:eastAsia="en-US"/>
        </w:rPr>
        <w:t>)</w:t>
      </w:r>
      <w:r w:rsidRPr="00C637FA">
        <w:rPr>
          <w:rFonts w:ascii="Bookman Old Style" w:hAnsi="Bookman Old Style" w:cs="Arial"/>
          <w:sz w:val="22"/>
          <w:szCs w:val="22"/>
          <w:lang w:eastAsia="en-US"/>
        </w:rPr>
        <w:t>, costituiti dalle plus / minusvalenze derivanti da cessioni di partecipazioni qualificate non nell’esercizio d’impresa.</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In relazione alle plus / minusvalenze derivanti da cessioni di partecipazioni nell’esercizio d’impresa da parte di soggetti non IRES l’art. 58, co. 2, D.P.R. 917/1986 stabilisce la percentuale di esenzione. Il Decreto ha pertanto fissato la nuova percentuale di esenzione in misura pari al 41,86% (100 – 58,14). La medesima percentuale va utilizzata per determinare la quota delle minusvalenze non deducibile.</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 xml:space="preserve">L’applicazione delle nuove percentuali riguarda le </w:t>
      </w:r>
      <w:r w:rsidRPr="00C637FA">
        <w:rPr>
          <w:rFonts w:ascii="Bookman Old Style" w:hAnsi="Bookman Old Style" w:cs="Arial"/>
          <w:bCs/>
          <w:sz w:val="22"/>
          <w:szCs w:val="22"/>
          <w:lang w:eastAsia="en-US"/>
        </w:rPr>
        <w:t xml:space="preserve">plus / minusvalenze </w:t>
      </w:r>
      <w:r w:rsidRPr="00C637FA">
        <w:rPr>
          <w:rFonts w:ascii="Bookman Old Style" w:hAnsi="Bookman Old Style" w:cs="Arial"/>
          <w:bCs/>
          <w:sz w:val="22"/>
          <w:szCs w:val="22"/>
          <w:u w:val="single"/>
          <w:lang w:eastAsia="en-US"/>
        </w:rPr>
        <w:t>realizzate</w:t>
      </w:r>
      <w:r w:rsidRPr="00C637FA">
        <w:rPr>
          <w:rFonts w:ascii="Bookman Old Style" w:hAnsi="Bookman Old Style" w:cs="Arial"/>
          <w:bCs/>
          <w:sz w:val="22"/>
          <w:szCs w:val="22"/>
          <w:lang w:eastAsia="en-US"/>
        </w:rPr>
        <w:t xml:space="preserve"> a decorrere dall’1.1.2018.</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 xml:space="preserve">A differenza di quanto avviene per i dividendi, la nuova percentuale </w:t>
      </w:r>
      <w:r w:rsidRPr="00C637FA">
        <w:rPr>
          <w:rFonts w:ascii="Bookman Old Style" w:hAnsi="Bookman Old Style" w:cs="Arial"/>
          <w:bCs/>
          <w:sz w:val="22"/>
          <w:szCs w:val="22"/>
          <w:lang w:eastAsia="en-US"/>
        </w:rPr>
        <w:t>prescinde</w:t>
      </w:r>
      <w:r w:rsidRPr="00C637FA">
        <w:rPr>
          <w:rFonts w:ascii="Bookman Old Style" w:hAnsi="Bookman Old Style" w:cs="Arial"/>
          <w:sz w:val="22"/>
          <w:szCs w:val="22"/>
          <w:lang w:eastAsia="en-US"/>
        </w:rPr>
        <w:t xml:space="preserve">, per motivi di semplicità, </w:t>
      </w:r>
      <w:r w:rsidRPr="00C637FA">
        <w:rPr>
          <w:rFonts w:ascii="Bookman Old Style" w:hAnsi="Bookman Old Style" w:cs="Arial"/>
          <w:bCs/>
          <w:sz w:val="22"/>
          <w:szCs w:val="22"/>
          <w:lang w:eastAsia="en-US"/>
        </w:rPr>
        <w:t xml:space="preserve">dalla circostanza che le plusvalenze tassate con la nuova percentuale siano </w:t>
      </w:r>
      <w:r w:rsidRPr="00C637FA">
        <w:rPr>
          <w:rFonts w:ascii="Bookman Old Style" w:hAnsi="Bookman Old Style" w:cs="Arial"/>
          <w:bCs/>
          <w:sz w:val="22"/>
          <w:szCs w:val="22"/>
          <w:u w:val="single"/>
          <w:lang w:eastAsia="en-US"/>
        </w:rPr>
        <w:t>maturate</w:t>
      </w:r>
      <w:r w:rsidRPr="00C637FA">
        <w:rPr>
          <w:rFonts w:ascii="Bookman Old Style" w:hAnsi="Bookman Old Style" w:cs="Arial"/>
          <w:bCs/>
          <w:sz w:val="22"/>
          <w:szCs w:val="22"/>
          <w:lang w:eastAsia="en-US"/>
        </w:rPr>
        <w:t xml:space="preserve"> («contengano utili formatisi») antecedentemente al 2018</w:t>
      </w:r>
      <w:r w:rsidRPr="00C637FA">
        <w:rPr>
          <w:rFonts w:ascii="Bookman Old Style" w:hAnsi="Bookman Old Style" w:cs="Arial"/>
          <w:sz w:val="22"/>
          <w:szCs w:val="22"/>
          <w:lang w:eastAsia="en-US"/>
        </w:rPr>
        <w:t>.</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 xml:space="preserve">Il Legislatore ha disciplinato in modo specifico il caso in cui la </w:t>
      </w:r>
      <w:r w:rsidRPr="00C637FA">
        <w:rPr>
          <w:rFonts w:ascii="Bookman Old Style" w:hAnsi="Bookman Old Style" w:cs="Arial"/>
          <w:bCs/>
          <w:sz w:val="22"/>
          <w:szCs w:val="22"/>
          <w:lang w:eastAsia="en-US"/>
        </w:rPr>
        <w:t xml:space="preserve">cessione delle partecipazioni sia avvenuta anteriormente all’1.1.2018 </w:t>
      </w:r>
      <w:r w:rsidRPr="00C637FA">
        <w:rPr>
          <w:rFonts w:ascii="Bookman Old Style" w:hAnsi="Bookman Old Style" w:cs="Arial"/>
          <w:sz w:val="22"/>
          <w:szCs w:val="22"/>
          <w:lang w:eastAsia="en-US"/>
        </w:rPr>
        <w:t xml:space="preserve">e i corrispettivi </w:t>
      </w:r>
      <w:r w:rsidRPr="00C637FA">
        <w:rPr>
          <w:rFonts w:ascii="Bookman Old Style" w:hAnsi="Bookman Old Style" w:cs="Arial"/>
          <w:bCs/>
          <w:sz w:val="22"/>
          <w:szCs w:val="22"/>
          <w:lang w:eastAsia="en-US"/>
        </w:rPr>
        <w:t xml:space="preserve">siano percepiti in tutto o in parte successivamente </w:t>
      </w:r>
      <w:r w:rsidRPr="00C637FA">
        <w:rPr>
          <w:rFonts w:ascii="Bookman Old Style" w:hAnsi="Bookman Old Style" w:cs="Arial"/>
          <w:sz w:val="22"/>
          <w:szCs w:val="22"/>
          <w:lang w:eastAsia="en-US"/>
        </w:rPr>
        <w:t>a tale data. In tale situazione è prevista l’applicazione della vecchia percentuale del 49,72% (verosimilmente il Legislatore ha ritenuto di dare prevalenza al momento del realizzo piuttosto che a quello dell’incasso).</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8"/>
      </w:tblGrid>
      <w:tr w:rsidR="006649DC" w:rsidRPr="00C637FA" w:rsidTr="0065205C">
        <w:tc>
          <w:tcPr>
            <w:tcW w:w="9778" w:type="dxa"/>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Esempio 3</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bCs/>
                <w:lang w:eastAsia="en-US"/>
              </w:rPr>
              <w:t>I sigg. Bianchi e Rossi hanno costituito nel 2002 la Beta S.r.l. mediante conferimento in denaro pari a 15.000 euro ciascuno.</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bCs/>
                <w:lang w:eastAsia="en-US"/>
              </w:rPr>
              <w:t>Il socio Bianchi cede la propria quota di partecipazione in data 25.9.2017 al prezzo di 45.000 euro. Il corrispettivo è incassato per metà all’atto della cessione e per la restante parte nel 2018. Non è stata effettuata la rivalutazione della partecipazione.</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bCs/>
                <w:lang w:eastAsia="en-US"/>
              </w:rPr>
              <w:t>La plusvalenza derivante dalla cessione pari a 30.000 euro (45.000 – 15.000) sarà tassata per il 50% nel 2017 e per il restante 50% nel 2018.</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bCs/>
                <w:lang w:eastAsia="en-US"/>
              </w:rPr>
              <w:t>Sia nel 2017 che nel 2018 le due quote di plusvalenze concorrono alla formazione del reddito complessivo dell’ex socio in misura pari a 49,72% in quanto la cessione è stata realizzata anteriormente all’1.1.2018.</w:t>
            </w:r>
          </w:p>
        </w:tc>
      </w:tr>
    </w:tbl>
    <w:p w:rsidR="006649DC" w:rsidRPr="00C637FA" w:rsidRDefault="006649DC" w:rsidP="003C2133">
      <w:pPr>
        <w:autoSpaceDE w:val="0"/>
        <w:autoSpaceDN w:val="0"/>
        <w:adjustRightInd w:val="0"/>
        <w:jc w:val="both"/>
        <w:rPr>
          <w:rFonts w:ascii="Bookman Old Style" w:hAnsi="Bookman Old Style" w:cs="Arial"/>
          <w:sz w:val="22"/>
          <w:szCs w:val="22"/>
          <w:lang w:eastAsia="en-US"/>
        </w:rPr>
      </w:pP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Nel sopraesposto panorama normativo interviene la Legge di bilancio 2018 stabilendo che, a</w:t>
      </w:r>
      <w:r w:rsidRPr="00C637FA">
        <w:rPr>
          <w:rFonts w:ascii="Bookman Old Style" w:hAnsi="Bookman Old Style" w:cs="Arial"/>
          <w:bCs/>
          <w:sz w:val="22"/>
          <w:szCs w:val="22"/>
          <w:lang w:eastAsia="en-US"/>
        </w:rPr>
        <w:t xml:space="preserve"> partire dagli utili percepiti dall’ 1.1.2018 (capital gain conseguiti dall’ 1.1.2019),  la tassazione avverrà con aliquota del 26% di imposta sostitutiva anche nel caso di partecipazioni qualificate.</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bCs/>
          <w:sz w:val="22"/>
          <w:szCs w:val="22"/>
          <w:lang w:eastAsia="en-US"/>
        </w:rPr>
        <w:t>Per gli utili da partecipazione qualificata prodotti fino al 31.12.2017, distribuiti dall’1.1.2018 al 31.1.2022, continuerà invece ad applicare la tassazione progressiva con aliquote IRPEF su una base imponibile parziale. Dagli utili distribuiti dal 2023 la tassazione sarà fissata all’aliquota del 26% sia per gli utili derivanti da partecipazioni qualificate sia per quelli derivanti da partecipazioni non qualificate.</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8"/>
      </w:tblGrid>
      <w:tr w:rsidR="006649DC" w:rsidRPr="00C637FA" w:rsidTr="0065205C">
        <w:tc>
          <w:tcPr>
            <w:tcW w:w="9778" w:type="dxa"/>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Esempio 4</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bCs/>
                <w:lang w:eastAsia="en-US"/>
              </w:rPr>
              <w:t>Utili pari a 100.000 euro distribuiti in data:</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 xml:space="preserve">Ipotesi a) distribuzione in data </w:t>
            </w:r>
            <w:r w:rsidRPr="0065205C">
              <w:rPr>
                <w:rFonts w:ascii="Bookman Old Style" w:hAnsi="Bookman Old Style" w:cs="Arial"/>
                <w:bCs/>
                <w:lang w:eastAsia="en-US"/>
              </w:rPr>
              <w:t>3.3.2019;</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 xml:space="preserve">Ipotesi b) distribuzione in data </w:t>
            </w:r>
            <w:r w:rsidRPr="0065205C">
              <w:rPr>
                <w:rFonts w:ascii="Bookman Old Style" w:hAnsi="Bookman Old Style" w:cs="Arial"/>
                <w:bCs/>
                <w:lang w:eastAsia="en-US"/>
              </w:rPr>
              <w:t>3.3.2023.</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bCs/>
                <w:lang w:eastAsia="en-US"/>
              </w:rPr>
              <w:t>Si ipotizza che gli utili si sono formati:</w:t>
            </w:r>
          </w:p>
          <w:p w:rsidR="006649DC" w:rsidRPr="0065205C" w:rsidRDefault="006649DC" w:rsidP="0065205C">
            <w:pPr>
              <w:numPr>
                <w:ilvl w:val="0"/>
                <w:numId w:val="30"/>
              </w:numPr>
              <w:autoSpaceDE w:val="0"/>
              <w:autoSpaceDN w:val="0"/>
              <w:adjustRightInd w:val="0"/>
              <w:jc w:val="both"/>
              <w:rPr>
                <w:rFonts w:ascii="Bookman Old Style" w:hAnsi="Bookman Old Style" w:cs="Arial"/>
                <w:lang w:eastAsia="en-US"/>
              </w:rPr>
            </w:pPr>
            <w:r w:rsidRPr="0065205C">
              <w:rPr>
                <w:rFonts w:ascii="Bookman Old Style" w:hAnsi="Bookman Old Style" w:cs="Arial"/>
                <w:bCs/>
                <w:lang w:eastAsia="en-US"/>
              </w:rPr>
              <w:t>30.000 euro fino al 2007</w:t>
            </w:r>
          </w:p>
          <w:p w:rsidR="006649DC" w:rsidRPr="0065205C" w:rsidRDefault="006649DC" w:rsidP="0065205C">
            <w:pPr>
              <w:numPr>
                <w:ilvl w:val="0"/>
                <w:numId w:val="30"/>
              </w:numPr>
              <w:autoSpaceDE w:val="0"/>
              <w:autoSpaceDN w:val="0"/>
              <w:adjustRightInd w:val="0"/>
              <w:jc w:val="both"/>
              <w:rPr>
                <w:rFonts w:ascii="Bookman Old Style" w:hAnsi="Bookman Old Style" w:cs="Arial"/>
                <w:lang w:eastAsia="en-US"/>
              </w:rPr>
            </w:pPr>
            <w:r w:rsidRPr="0065205C">
              <w:rPr>
                <w:rFonts w:ascii="Bookman Old Style" w:hAnsi="Bookman Old Style" w:cs="Arial"/>
                <w:bCs/>
                <w:lang w:eastAsia="en-US"/>
              </w:rPr>
              <w:t>60.000 euro fino al 2016;</w:t>
            </w:r>
          </w:p>
          <w:p w:rsidR="006649DC" w:rsidRPr="0065205C" w:rsidRDefault="006649DC" w:rsidP="0065205C">
            <w:pPr>
              <w:numPr>
                <w:ilvl w:val="0"/>
                <w:numId w:val="30"/>
              </w:numPr>
              <w:autoSpaceDE w:val="0"/>
              <w:autoSpaceDN w:val="0"/>
              <w:adjustRightInd w:val="0"/>
              <w:jc w:val="both"/>
              <w:rPr>
                <w:rFonts w:ascii="Bookman Old Style" w:hAnsi="Bookman Old Style" w:cs="Arial"/>
                <w:lang w:eastAsia="en-US"/>
              </w:rPr>
            </w:pPr>
            <w:r w:rsidRPr="0065205C">
              <w:rPr>
                <w:rFonts w:ascii="Bookman Old Style" w:hAnsi="Bookman Old Style" w:cs="Arial"/>
                <w:bCs/>
                <w:lang w:eastAsia="en-US"/>
              </w:rPr>
              <w:t>10.000 euro nel 2017.</w:t>
            </w:r>
          </w:p>
          <w:p w:rsidR="006649DC" w:rsidRPr="0065205C" w:rsidRDefault="006649DC" w:rsidP="0065205C">
            <w:pPr>
              <w:autoSpaceDE w:val="0"/>
              <w:autoSpaceDN w:val="0"/>
              <w:adjustRightInd w:val="0"/>
              <w:jc w:val="both"/>
              <w:rPr>
                <w:rFonts w:ascii="Bookman Old Style" w:hAnsi="Bookman Old Style" w:cs="Arial"/>
                <w:lang w:eastAsia="en-US"/>
              </w:rPr>
            </w:pP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481.5pt;height:197.25pt;visibility:visible">
                  <v:imagedata r:id="rId22" o:title=""/>
                </v:shape>
              </w:pict>
            </w:r>
          </w:p>
          <w:p w:rsidR="006649DC" w:rsidRPr="0065205C" w:rsidRDefault="006649DC" w:rsidP="0065205C">
            <w:pPr>
              <w:autoSpaceDE w:val="0"/>
              <w:autoSpaceDN w:val="0"/>
              <w:adjustRightInd w:val="0"/>
              <w:jc w:val="both"/>
              <w:rPr>
                <w:rFonts w:ascii="Bookman Old Style" w:hAnsi="Bookman Old Style" w:cs="Arial"/>
                <w:lang w:eastAsia="en-US"/>
              </w:rPr>
            </w:pPr>
          </w:p>
          <w:p w:rsidR="006649DC" w:rsidRPr="0065205C" w:rsidRDefault="006649DC" w:rsidP="0065205C">
            <w:pPr>
              <w:autoSpaceDE w:val="0"/>
              <w:autoSpaceDN w:val="0"/>
              <w:adjustRightInd w:val="0"/>
              <w:jc w:val="both"/>
              <w:rPr>
                <w:rFonts w:ascii="Bookman Old Style" w:hAnsi="Bookman Old Style" w:cs="Arial"/>
                <w:lang w:eastAsia="en-US"/>
              </w:rPr>
            </w:pPr>
          </w:p>
        </w:tc>
      </w:tr>
    </w:tbl>
    <w:p w:rsidR="006649DC" w:rsidRPr="00C637FA" w:rsidRDefault="006649DC" w:rsidP="003C2133">
      <w:pPr>
        <w:autoSpaceDE w:val="0"/>
        <w:autoSpaceDN w:val="0"/>
        <w:adjustRightInd w:val="0"/>
        <w:jc w:val="both"/>
        <w:rPr>
          <w:rFonts w:ascii="Bookman Old Style" w:hAnsi="Bookman Old Style" w:cs="Arial"/>
          <w:sz w:val="22"/>
          <w:szCs w:val="22"/>
          <w:lang w:eastAsia="en-US"/>
        </w:rPr>
      </w:pP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p>
    <w:p w:rsidR="006649DC" w:rsidRPr="00C637FA" w:rsidRDefault="006649DC" w:rsidP="003C2133">
      <w:pPr>
        <w:autoSpaceDE w:val="0"/>
        <w:autoSpaceDN w:val="0"/>
        <w:adjustRightInd w:val="0"/>
        <w:jc w:val="both"/>
        <w:rPr>
          <w:rFonts w:ascii="Bookman Old Style" w:hAnsi="Bookman Old Style" w:cs="Arial"/>
          <w:i/>
          <w:sz w:val="22"/>
          <w:szCs w:val="22"/>
          <w:lang w:eastAsia="en-US"/>
        </w:rPr>
      </w:pPr>
      <w:r w:rsidRPr="00C637FA">
        <w:rPr>
          <w:rFonts w:ascii="Bookman Old Style" w:hAnsi="Bookman Old Style" w:cs="Arial"/>
          <w:i/>
          <w:sz w:val="22"/>
          <w:szCs w:val="22"/>
          <w:lang w:eastAsia="en-US"/>
        </w:rPr>
        <w:t>Analisi degli effetti</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La decisione di uniformare la tassazione dei redditi di capitale relativi a partecipazioni in società, considerando l’attuale tassazione al 26%, determina un aumento di pressione fiscale su tutti i redditi di capitale prelevati relativi a partecipazioni qualificate, tanto maggiore quanto più basso è l’ammontare dell’utile prodotto e distribuito, ossia quello in genere distribuito ai soci delle piccole S.r.l.</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i/>
          <w:sz w:val="22"/>
          <w:szCs w:val="22"/>
          <w:lang w:eastAsia="en-US"/>
        </w:rPr>
        <w:t>Confronto carico fiscale ante 2017 e dal 2018</w:t>
      </w:r>
      <w:r w:rsidRPr="00C637FA">
        <w:rPr>
          <w:rFonts w:ascii="Bookman Old Style" w:hAnsi="Bookman Old Style" w:cs="Arial"/>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0"/>
        <w:gridCol w:w="3201"/>
        <w:gridCol w:w="3217"/>
      </w:tblGrid>
      <w:tr w:rsidR="006649DC" w:rsidRPr="00C637FA" w:rsidTr="0065205C">
        <w:tc>
          <w:tcPr>
            <w:tcW w:w="3259" w:type="dxa"/>
            <w:vAlign w:val="center"/>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Reddito complessivo</w:t>
            </w:r>
          </w:p>
        </w:tc>
        <w:tc>
          <w:tcPr>
            <w:tcW w:w="3259" w:type="dxa"/>
            <w:vAlign w:val="center"/>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Totale IRES + IRPEF (redditi maturati fino al 2017)</w:t>
            </w:r>
          </w:p>
        </w:tc>
        <w:tc>
          <w:tcPr>
            <w:tcW w:w="3260" w:type="dxa"/>
            <w:vAlign w:val="center"/>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Totale IRES + IMPOSTA SOSTITUTIVA del 26% (redditi maturati dal 2018)</w:t>
            </w:r>
          </w:p>
        </w:tc>
      </w:tr>
      <w:tr w:rsidR="006649DC" w:rsidRPr="00C637FA" w:rsidTr="0065205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20.000</w:t>
            </w:r>
          </w:p>
        </w:t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35,2%</w:t>
            </w:r>
          </w:p>
        </w:tc>
        <w:tc>
          <w:tcPr>
            <w:tcW w:w="3260" w:type="dxa"/>
            <w:vMerge w:val="restart"/>
            <w:vAlign w:val="center"/>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43,8%</w:t>
            </w:r>
          </w:p>
        </w:tc>
      </w:tr>
      <w:tr w:rsidR="006649DC" w:rsidRPr="00C637FA" w:rsidTr="0065205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40.000</w:t>
            </w:r>
          </w:p>
        </w:t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35,5%</w:t>
            </w:r>
          </w:p>
        </w:tc>
        <w:tc>
          <w:tcPr>
            <w:tcW w:w="3260" w:type="dxa"/>
            <w:vMerge/>
          </w:tcPr>
          <w:p w:rsidR="006649DC" w:rsidRPr="0065205C" w:rsidRDefault="006649DC" w:rsidP="0065205C">
            <w:pPr>
              <w:autoSpaceDE w:val="0"/>
              <w:autoSpaceDN w:val="0"/>
              <w:adjustRightInd w:val="0"/>
              <w:jc w:val="both"/>
              <w:rPr>
                <w:rFonts w:ascii="Bookman Old Style" w:hAnsi="Bookman Old Style" w:cs="Arial"/>
                <w:lang w:eastAsia="en-US"/>
              </w:rPr>
            </w:pPr>
          </w:p>
        </w:tc>
      </w:tr>
      <w:tr w:rsidR="006649DC" w:rsidRPr="00C637FA" w:rsidTr="0065205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60.000</w:t>
            </w:r>
          </w:p>
        </w:t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36%</w:t>
            </w:r>
          </w:p>
        </w:tc>
        <w:tc>
          <w:tcPr>
            <w:tcW w:w="3260" w:type="dxa"/>
            <w:vMerge/>
          </w:tcPr>
          <w:p w:rsidR="006649DC" w:rsidRPr="0065205C" w:rsidRDefault="006649DC" w:rsidP="0065205C">
            <w:pPr>
              <w:autoSpaceDE w:val="0"/>
              <w:autoSpaceDN w:val="0"/>
              <w:adjustRightInd w:val="0"/>
              <w:jc w:val="both"/>
              <w:rPr>
                <w:rFonts w:ascii="Bookman Old Style" w:hAnsi="Bookman Old Style" w:cs="Arial"/>
                <w:lang w:eastAsia="en-US"/>
              </w:rPr>
            </w:pPr>
          </w:p>
        </w:tc>
      </w:tr>
      <w:tr w:rsidR="006649DC" w:rsidRPr="00C637FA" w:rsidTr="0065205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100.000</w:t>
            </w:r>
          </w:p>
        </w:t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38,2%</w:t>
            </w:r>
          </w:p>
        </w:tc>
        <w:tc>
          <w:tcPr>
            <w:tcW w:w="3260" w:type="dxa"/>
            <w:vMerge/>
          </w:tcPr>
          <w:p w:rsidR="006649DC" w:rsidRPr="0065205C" w:rsidRDefault="006649DC" w:rsidP="0065205C">
            <w:pPr>
              <w:autoSpaceDE w:val="0"/>
              <w:autoSpaceDN w:val="0"/>
              <w:adjustRightInd w:val="0"/>
              <w:jc w:val="both"/>
              <w:rPr>
                <w:rFonts w:ascii="Bookman Old Style" w:hAnsi="Bookman Old Style" w:cs="Arial"/>
                <w:lang w:eastAsia="en-US"/>
              </w:rPr>
            </w:pPr>
          </w:p>
        </w:tc>
      </w:tr>
      <w:tr w:rsidR="006649DC" w:rsidRPr="00C637FA" w:rsidTr="0065205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200.000</w:t>
            </w:r>
          </w:p>
        </w:t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40,6%</w:t>
            </w:r>
          </w:p>
        </w:tc>
        <w:tc>
          <w:tcPr>
            <w:tcW w:w="3260" w:type="dxa"/>
            <w:vMerge/>
          </w:tcPr>
          <w:p w:rsidR="006649DC" w:rsidRPr="0065205C" w:rsidRDefault="006649DC" w:rsidP="0065205C">
            <w:pPr>
              <w:autoSpaceDE w:val="0"/>
              <w:autoSpaceDN w:val="0"/>
              <w:adjustRightInd w:val="0"/>
              <w:jc w:val="both"/>
              <w:rPr>
                <w:rFonts w:ascii="Bookman Old Style" w:hAnsi="Bookman Old Style" w:cs="Arial"/>
                <w:lang w:eastAsia="en-US"/>
              </w:rPr>
            </w:pPr>
          </w:p>
        </w:tc>
      </w:tr>
      <w:tr w:rsidR="006649DC" w:rsidRPr="00C637FA" w:rsidTr="0065205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300.000</w:t>
            </w:r>
          </w:p>
        </w:t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41,8%</w:t>
            </w:r>
          </w:p>
        </w:tc>
        <w:tc>
          <w:tcPr>
            <w:tcW w:w="3260" w:type="dxa"/>
            <w:vMerge/>
          </w:tcPr>
          <w:p w:rsidR="006649DC" w:rsidRPr="0065205C" w:rsidRDefault="006649DC" w:rsidP="0065205C">
            <w:pPr>
              <w:autoSpaceDE w:val="0"/>
              <w:autoSpaceDN w:val="0"/>
              <w:adjustRightInd w:val="0"/>
              <w:jc w:val="both"/>
              <w:rPr>
                <w:rFonts w:ascii="Bookman Old Style" w:hAnsi="Bookman Old Style" w:cs="Arial"/>
                <w:lang w:eastAsia="en-US"/>
              </w:rPr>
            </w:pPr>
          </w:p>
        </w:tc>
      </w:tr>
      <w:tr w:rsidR="006649DC" w:rsidRPr="00C637FA" w:rsidTr="0065205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Oltre 500.000</w:t>
            </w:r>
          </w:p>
        </w:t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Meno del 43,5%</w:t>
            </w:r>
          </w:p>
        </w:tc>
        <w:tc>
          <w:tcPr>
            <w:tcW w:w="3260" w:type="dxa"/>
            <w:vMerge/>
          </w:tcPr>
          <w:p w:rsidR="006649DC" w:rsidRPr="0065205C" w:rsidRDefault="006649DC" w:rsidP="0065205C">
            <w:pPr>
              <w:autoSpaceDE w:val="0"/>
              <w:autoSpaceDN w:val="0"/>
              <w:adjustRightInd w:val="0"/>
              <w:jc w:val="both"/>
              <w:rPr>
                <w:rFonts w:ascii="Bookman Old Style" w:hAnsi="Bookman Old Style" w:cs="Arial"/>
                <w:lang w:eastAsia="en-US"/>
              </w:rPr>
            </w:pPr>
          </w:p>
        </w:tc>
      </w:tr>
    </w:tbl>
    <w:p w:rsidR="006649DC" w:rsidRPr="00C637FA" w:rsidRDefault="006649DC" w:rsidP="003C2133">
      <w:pPr>
        <w:autoSpaceDE w:val="0"/>
        <w:autoSpaceDN w:val="0"/>
        <w:adjustRightInd w:val="0"/>
        <w:jc w:val="both"/>
        <w:rPr>
          <w:rFonts w:ascii="Bookman Old Style" w:hAnsi="Bookman Old Style" w:cs="Arial"/>
          <w:sz w:val="22"/>
          <w:szCs w:val="22"/>
          <w:lang w:eastAsia="en-US"/>
        </w:rPr>
      </w:pPr>
    </w:p>
    <w:p w:rsidR="006649DC" w:rsidRPr="00C637FA" w:rsidRDefault="006649DC" w:rsidP="003C2133">
      <w:pPr>
        <w:autoSpaceDE w:val="0"/>
        <w:autoSpaceDN w:val="0"/>
        <w:adjustRightInd w:val="0"/>
        <w:jc w:val="both"/>
        <w:rPr>
          <w:rFonts w:ascii="Bookman Old Style" w:eastAsia="SymbolOOEnc" w:hAnsi="Bookman Old Style" w:cs="Arial"/>
          <w:sz w:val="22"/>
          <w:szCs w:val="22"/>
          <w:lang w:eastAsia="en-US"/>
        </w:rPr>
      </w:pPr>
      <w:r w:rsidRPr="00C637FA">
        <w:rPr>
          <w:rFonts w:ascii="Bookman Old Style" w:hAnsi="Bookman Old Style" w:cs="Arial"/>
          <w:sz w:val="22"/>
          <w:szCs w:val="22"/>
          <w:lang w:eastAsia="en-US"/>
        </w:rPr>
        <w:t>Oltre a ciò, si deve considerare che nelle piccole S.r.l. artigiane o commerciali, con obbligo di iscrizione dei soci persone fisiche alla gestione IVS, potrebbe verificarsi l’impossibilità di dedurre gli importi dovuti alla previdenza, giacché l’eventuale reddito distribuito non è assoggettato a IRPEF, ma ad imposta sostitutiva. Pertanto, la deduzione potrà comportare un risparmio fiscale solo se il socio ha altre categorie di reddito assoggettate ad IRPEF. Se quanto distribuito dalla S.r.l. rappresentasse l’unica fonte reddituale, si avrebbe una situazione di incapienza non solo per i contributi INPS, ma anche per altri oneri detraibili dalle imposte o deducibili dal reddito.</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I cennati problemi potrebbero essere risolti dalle S.r.l. per le quali è applicabile il regime di trasparenza fiscale di cui all’art. 116, D.P.R. 917/1986 (applicabile per le S.r.l.  con volume di ricavi non superiore a 5,164 milioni di euro e con una compagine sociale composta esclusivamente da persone fisiche in numero non superiore a 10 o a 20 nel caso di società cooperativa; quindi è un regime utilizzabile anche in caso di detenzione di partecipazioni non qualificate) congiuntamente all’opzione per l’IRI (art. 55-bis, D.P.R. 917/1986).</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La trasparenza fiscale nell’ambito del regime IRI, infatti, esclude l’applicazione della tassazione proporzionale al 26% con l’imposizione splittata in due:</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 xml:space="preserve">- la parte di utili lasciata in azienda resta assoggettata alla tassazione IRI con aliquota proporzionale al 24%; </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 la parte di utili distribuita ai soci viene sottoposta alla tassazione progressiva IRPEF (e non ad imposta sostitutiva del 26%).</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Con l’opzione per la trasparenza fiscale e per l’IRI, pertanto:</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 si scongiura l’aumento della pressione fiscale;</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 si evita il problema dell’incapienza (da oneri deducibili e detraibili);</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 si fruisce della tassazione (dell’IRI) al 24% sugli utili non distribuiti (art. 116, co. 2-bis, D.P.R. 917/1986).</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i/>
          <w:sz w:val="22"/>
          <w:szCs w:val="22"/>
          <w:lang w:eastAsia="en-US"/>
        </w:rPr>
        <w:t xml:space="preserve">Confronto carico fiscale dal 2018 ordinario e con regime per trasparenza e IRI </w:t>
      </w:r>
      <w:r w:rsidRPr="00C637FA">
        <w:rPr>
          <w:rFonts w:ascii="Bookman Old Style" w:hAnsi="Bookman Old Style" w:cs="Arial"/>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7"/>
        <w:gridCol w:w="3214"/>
        <w:gridCol w:w="3207"/>
      </w:tblGrid>
      <w:tr w:rsidR="006649DC" w:rsidRPr="00C637FA" w:rsidTr="0065205C">
        <w:tc>
          <w:tcPr>
            <w:tcW w:w="3259" w:type="dxa"/>
            <w:vAlign w:val="center"/>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Reddito complessivo</w:t>
            </w:r>
          </w:p>
        </w:tc>
        <w:tc>
          <w:tcPr>
            <w:tcW w:w="3259" w:type="dxa"/>
            <w:vAlign w:val="center"/>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Totale IRES + IMPOSTA SOSTITUTIVA del 26% (redditi maturati dal 2018)</w:t>
            </w:r>
          </w:p>
        </w:tc>
        <w:tc>
          <w:tcPr>
            <w:tcW w:w="3259" w:type="dxa"/>
            <w:vAlign w:val="center"/>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Totale IRPEF in trasparenza fiscale</w:t>
            </w:r>
          </w:p>
        </w:tc>
      </w:tr>
      <w:tr w:rsidR="006649DC" w:rsidRPr="00C637FA" w:rsidTr="0065205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20.000</w:t>
            </w:r>
          </w:p>
        </w:tc>
        <w:tc>
          <w:tcPr>
            <w:tcW w:w="3259" w:type="dxa"/>
            <w:vMerge w:val="restart"/>
            <w:vAlign w:val="center"/>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43,8%</w:t>
            </w:r>
          </w:p>
        </w:t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26,4%</w:t>
            </w:r>
          </w:p>
        </w:tc>
      </w:tr>
      <w:tr w:rsidR="006649DC" w:rsidRPr="00C637FA" w:rsidTr="0065205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40.000</w:t>
            </w:r>
          </w:p>
        </w:tc>
        <w:tc>
          <w:tcPr>
            <w:tcW w:w="3259" w:type="dxa"/>
            <w:vMerge/>
          </w:tcPr>
          <w:p w:rsidR="006649DC" w:rsidRPr="0065205C" w:rsidRDefault="006649DC" w:rsidP="0065205C">
            <w:pPr>
              <w:autoSpaceDE w:val="0"/>
              <w:autoSpaceDN w:val="0"/>
              <w:adjustRightInd w:val="0"/>
              <w:jc w:val="center"/>
              <w:rPr>
                <w:rFonts w:ascii="Bookman Old Style" w:hAnsi="Bookman Old Style" w:cs="Arial"/>
                <w:lang w:eastAsia="en-US"/>
              </w:rPr>
            </w:pPr>
          </w:p>
        </w:t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31,2%</w:t>
            </w:r>
          </w:p>
        </w:tc>
      </w:tr>
      <w:tr w:rsidR="006649DC" w:rsidRPr="00C637FA" w:rsidTr="0065205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60.000</w:t>
            </w:r>
          </w:p>
        </w:tc>
        <w:tc>
          <w:tcPr>
            <w:tcW w:w="3259" w:type="dxa"/>
            <w:vMerge/>
          </w:tcPr>
          <w:p w:rsidR="006649DC" w:rsidRPr="0065205C" w:rsidRDefault="006649DC" w:rsidP="0065205C">
            <w:pPr>
              <w:autoSpaceDE w:val="0"/>
              <w:autoSpaceDN w:val="0"/>
              <w:adjustRightInd w:val="0"/>
              <w:jc w:val="center"/>
              <w:rPr>
                <w:rFonts w:ascii="Bookman Old Style" w:hAnsi="Bookman Old Style" w:cs="Arial"/>
                <w:lang w:eastAsia="en-US"/>
              </w:rPr>
            </w:pPr>
          </w:p>
        </w:t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34,5%</w:t>
            </w:r>
          </w:p>
        </w:tc>
      </w:tr>
      <w:tr w:rsidR="006649DC" w:rsidRPr="00C637FA" w:rsidTr="0065205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100.000</w:t>
            </w:r>
          </w:p>
        </w:tc>
        <w:tc>
          <w:tcPr>
            <w:tcW w:w="3259" w:type="dxa"/>
            <w:vMerge/>
          </w:tcPr>
          <w:p w:rsidR="006649DC" w:rsidRPr="0065205C" w:rsidRDefault="006649DC" w:rsidP="0065205C">
            <w:pPr>
              <w:autoSpaceDE w:val="0"/>
              <w:autoSpaceDN w:val="0"/>
              <w:adjustRightInd w:val="0"/>
              <w:jc w:val="center"/>
              <w:rPr>
                <w:rFonts w:ascii="Bookman Old Style" w:hAnsi="Bookman Old Style" w:cs="Arial"/>
                <w:lang w:eastAsia="en-US"/>
              </w:rPr>
            </w:pPr>
          </w:p>
        </w:t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38,5%</w:t>
            </w:r>
          </w:p>
        </w:tc>
      </w:tr>
      <w:tr w:rsidR="006649DC" w:rsidRPr="00C637FA" w:rsidTr="0065205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200.000</w:t>
            </w:r>
          </w:p>
        </w:tc>
        <w:tc>
          <w:tcPr>
            <w:tcW w:w="3259" w:type="dxa"/>
            <w:vMerge/>
          </w:tcPr>
          <w:p w:rsidR="006649DC" w:rsidRPr="0065205C" w:rsidRDefault="006649DC" w:rsidP="0065205C">
            <w:pPr>
              <w:autoSpaceDE w:val="0"/>
              <w:autoSpaceDN w:val="0"/>
              <w:adjustRightInd w:val="0"/>
              <w:jc w:val="center"/>
              <w:rPr>
                <w:rFonts w:ascii="Bookman Old Style" w:hAnsi="Bookman Old Style" w:cs="Arial"/>
                <w:lang w:eastAsia="en-US"/>
              </w:rPr>
            </w:pPr>
          </w:p>
        </w:t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42%</w:t>
            </w:r>
          </w:p>
        </w:tc>
      </w:tr>
      <w:tr w:rsidR="006649DC" w:rsidRPr="00C637FA" w:rsidTr="0065205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300.000</w:t>
            </w:r>
          </w:p>
        </w:tc>
        <w:tc>
          <w:tcPr>
            <w:tcW w:w="3259" w:type="dxa"/>
            <w:vMerge/>
          </w:tcPr>
          <w:p w:rsidR="006649DC" w:rsidRPr="0065205C" w:rsidRDefault="006649DC" w:rsidP="0065205C">
            <w:pPr>
              <w:autoSpaceDE w:val="0"/>
              <w:autoSpaceDN w:val="0"/>
              <w:adjustRightInd w:val="0"/>
              <w:jc w:val="center"/>
              <w:rPr>
                <w:rFonts w:ascii="Bookman Old Style" w:hAnsi="Bookman Old Style" w:cs="Arial"/>
                <w:lang w:eastAsia="en-US"/>
              </w:rPr>
            </w:pPr>
          </w:p>
        </w:t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43,1%</w:t>
            </w:r>
          </w:p>
        </w:tc>
      </w:tr>
      <w:tr w:rsidR="006649DC" w:rsidRPr="00C637FA" w:rsidTr="0065205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Oltre 500.000</w:t>
            </w:r>
          </w:p>
        </w:tc>
        <w:tc>
          <w:tcPr>
            <w:tcW w:w="3259" w:type="dxa"/>
            <w:vMerge/>
          </w:tcPr>
          <w:p w:rsidR="006649DC" w:rsidRPr="0065205C" w:rsidRDefault="006649DC" w:rsidP="0065205C">
            <w:pPr>
              <w:autoSpaceDE w:val="0"/>
              <w:autoSpaceDN w:val="0"/>
              <w:adjustRightInd w:val="0"/>
              <w:jc w:val="center"/>
              <w:rPr>
                <w:rFonts w:ascii="Bookman Old Style" w:hAnsi="Bookman Old Style" w:cs="Arial"/>
                <w:lang w:eastAsia="en-US"/>
              </w:rPr>
            </w:pPr>
          </w:p>
        </w:tc>
        <w:tc>
          <w:tcPr>
            <w:tcW w:w="3259"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Circa 44%</w:t>
            </w:r>
          </w:p>
        </w:tc>
      </w:tr>
    </w:tbl>
    <w:p w:rsidR="006649DC" w:rsidRPr="00C637FA" w:rsidRDefault="006649DC" w:rsidP="003C2133">
      <w:pPr>
        <w:autoSpaceDE w:val="0"/>
        <w:autoSpaceDN w:val="0"/>
        <w:adjustRightInd w:val="0"/>
        <w:jc w:val="both"/>
        <w:rPr>
          <w:rFonts w:ascii="Bookman Old Style" w:hAnsi="Bookman Old Style" w:cs="Arial"/>
          <w:sz w:val="22"/>
          <w:szCs w:val="22"/>
          <w:lang w:eastAsia="en-US"/>
        </w:rPr>
      </w:pP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p>
    <w:p w:rsidR="006649DC" w:rsidRPr="00C637FA" w:rsidRDefault="006649DC" w:rsidP="003C2133">
      <w:pPr>
        <w:autoSpaceDE w:val="0"/>
        <w:autoSpaceDN w:val="0"/>
        <w:adjustRightInd w:val="0"/>
        <w:jc w:val="both"/>
        <w:rPr>
          <w:rFonts w:ascii="Bookman Old Style" w:hAnsi="Bookman Old Style" w:cs="Arial"/>
          <w:i/>
          <w:sz w:val="22"/>
          <w:szCs w:val="22"/>
          <w:lang w:eastAsia="en-US"/>
        </w:rPr>
      </w:pPr>
      <w:r w:rsidRPr="00C637FA">
        <w:rPr>
          <w:rFonts w:ascii="Bookman Old Style" w:hAnsi="Bookman Old Style" w:cs="Arial"/>
          <w:i/>
          <w:sz w:val="22"/>
          <w:szCs w:val="22"/>
          <w:lang w:eastAsia="en-US"/>
        </w:rPr>
        <w:t>Dividendi provenienti da soggetti “black list”</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 xml:space="preserve">I co. da 1007 a 1009, L. 205/2017 stabiliscono che, ai fini dell’applicazione degli artt. 47, co. 4 e 89, co. 3, D.P.R. 917/1986 (in materia di tassazione dei dividendi), </w:t>
      </w:r>
      <w:r w:rsidRPr="00C637FA">
        <w:rPr>
          <w:rFonts w:ascii="Bookman Old Style" w:hAnsi="Bookman Old Style" w:cs="Arial"/>
          <w:bCs/>
          <w:sz w:val="22"/>
          <w:szCs w:val="22"/>
          <w:lang w:eastAsia="en-US"/>
        </w:rPr>
        <w:t xml:space="preserve">non si considerano provenienti da società residenti o localizzate in Stati </w:t>
      </w:r>
      <w:r w:rsidRPr="00C637FA">
        <w:rPr>
          <w:rFonts w:ascii="Bookman Old Style" w:hAnsi="Bookman Old Style" w:cs="Arial"/>
          <w:sz w:val="22"/>
          <w:szCs w:val="22"/>
          <w:lang w:eastAsia="en-US"/>
        </w:rPr>
        <w:t>“</w:t>
      </w:r>
      <w:r w:rsidRPr="00C637FA">
        <w:rPr>
          <w:rFonts w:ascii="Bookman Old Style" w:hAnsi="Bookman Old Style" w:cs="Arial"/>
          <w:bCs/>
          <w:sz w:val="22"/>
          <w:szCs w:val="22"/>
          <w:lang w:eastAsia="en-US"/>
        </w:rPr>
        <w:t>black list</w:t>
      </w:r>
      <w:r w:rsidRPr="00C637FA">
        <w:rPr>
          <w:rFonts w:ascii="Bookman Old Style" w:hAnsi="Bookman Old Style" w:cs="Arial"/>
          <w:sz w:val="22"/>
          <w:szCs w:val="22"/>
          <w:lang w:eastAsia="en-US"/>
        </w:rPr>
        <w:t>”:</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eastAsia="SymbolOOEnc" w:hAnsi="Bookman Old Style" w:cs="SymbolOOEnc"/>
          <w:sz w:val="22"/>
          <w:szCs w:val="22"/>
          <w:lang w:eastAsia="en-US"/>
        </w:rPr>
        <w:t xml:space="preserve">- </w:t>
      </w:r>
      <w:r w:rsidRPr="00C637FA">
        <w:rPr>
          <w:rFonts w:ascii="Bookman Old Style" w:hAnsi="Bookman Old Style" w:cs="Arial"/>
          <w:sz w:val="22"/>
          <w:szCs w:val="22"/>
          <w:lang w:eastAsia="en-US"/>
        </w:rPr>
        <w:t xml:space="preserve">gli </w:t>
      </w:r>
      <w:r w:rsidRPr="00C637FA">
        <w:rPr>
          <w:rFonts w:ascii="Bookman Old Style" w:hAnsi="Bookman Old Style" w:cs="Arial"/>
          <w:bCs/>
          <w:sz w:val="22"/>
          <w:szCs w:val="22"/>
          <w:lang w:eastAsia="en-US"/>
        </w:rPr>
        <w:t xml:space="preserve">utili percepiti dal periodo d’imposta successivo a quello in corso al 31.12.2014 </w:t>
      </w:r>
      <w:r w:rsidRPr="00C637FA">
        <w:rPr>
          <w:rFonts w:ascii="Bookman Old Style" w:hAnsi="Bookman Old Style" w:cs="Arial"/>
          <w:sz w:val="22"/>
          <w:szCs w:val="22"/>
          <w:lang w:eastAsia="en-US"/>
        </w:rPr>
        <w:t>(generalmente, dal 2015) maturati in periodi precedenti nei quali le società partecipate erano residenti o localizzate in Stati non presenti nell’elenco di cui al D.M. 21.11.2001;</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eastAsia="SymbolOOEnc" w:hAnsi="Bookman Old Style" w:cs="SymbolOOEnc"/>
          <w:sz w:val="22"/>
          <w:szCs w:val="22"/>
          <w:lang w:eastAsia="en-US"/>
        </w:rPr>
        <w:t xml:space="preserve">- </w:t>
      </w:r>
      <w:r w:rsidRPr="00C637FA">
        <w:rPr>
          <w:rFonts w:ascii="Bookman Old Style" w:hAnsi="Bookman Old Style" w:cs="Arial"/>
          <w:sz w:val="22"/>
          <w:szCs w:val="22"/>
          <w:lang w:eastAsia="en-US"/>
        </w:rPr>
        <w:t xml:space="preserve">gli </w:t>
      </w:r>
      <w:r w:rsidRPr="00C637FA">
        <w:rPr>
          <w:rFonts w:ascii="Bookman Old Style" w:hAnsi="Bookman Old Style" w:cs="Arial"/>
          <w:bCs/>
          <w:sz w:val="22"/>
          <w:szCs w:val="22"/>
          <w:lang w:eastAsia="en-US"/>
        </w:rPr>
        <w:t xml:space="preserve">utili maturati in periodi successivi a quello in corso al 31.12.2014 </w:t>
      </w:r>
      <w:r w:rsidRPr="00C637FA">
        <w:rPr>
          <w:rFonts w:ascii="Bookman Old Style" w:hAnsi="Bookman Old Style" w:cs="Arial"/>
          <w:sz w:val="22"/>
          <w:szCs w:val="22"/>
          <w:lang w:eastAsia="en-US"/>
        </w:rPr>
        <w:t>in Stati “white list” percepiti in periodi in cui risultano verificate le condizioni di cui all’art. 167, co. 4, D.P.R. 917/1986, ossia il “</w:t>
      </w:r>
      <w:r w:rsidRPr="00C637FA">
        <w:rPr>
          <w:rFonts w:ascii="Bookman Old Style" w:hAnsi="Bookman Old Style" w:cs="Arial"/>
          <w:i/>
          <w:iCs/>
          <w:sz w:val="22"/>
          <w:szCs w:val="22"/>
          <w:lang w:eastAsia="en-US"/>
        </w:rPr>
        <w:t>livello nominale di tassazione risulti inferiore al 50 per cento di quello applicabile in Italia</w:t>
      </w:r>
      <w:r w:rsidRPr="00C637FA">
        <w:rPr>
          <w:rFonts w:ascii="Bookman Old Style" w:hAnsi="Bookman Old Style" w:cs="Arial"/>
          <w:sz w:val="22"/>
          <w:szCs w:val="22"/>
          <w:lang w:eastAsia="en-US"/>
        </w:rPr>
        <w:t>”.</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Ai fini di cui sopra, gli utili distribuiti dal soggetto non residente si presumono prioritariamente  formati  con  quelli  da considerare non provenienti da Stati o  territori  a  regime  fiscale privilegiato.</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 xml:space="preserve">È inoltre previsto che in caso di </w:t>
      </w:r>
      <w:r w:rsidRPr="00C637FA">
        <w:rPr>
          <w:rFonts w:ascii="Bookman Old Style" w:hAnsi="Bookman Old Style" w:cs="Arial"/>
          <w:bCs/>
          <w:sz w:val="22"/>
          <w:szCs w:val="22"/>
          <w:lang w:eastAsia="en-US"/>
        </w:rPr>
        <w:t xml:space="preserve">cessione delle partecipazioni </w:t>
      </w:r>
      <w:r w:rsidRPr="00C637FA">
        <w:rPr>
          <w:rFonts w:ascii="Bookman Old Style" w:hAnsi="Bookman Old Style" w:cs="Arial"/>
          <w:sz w:val="22"/>
          <w:szCs w:val="22"/>
          <w:lang w:eastAsia="en-US"/>
        </w:rPr>
        <w:t>si trasferisce all’acquirente la preesistente stratificazione delle riserve di utili.</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 xml:space="preserve">Per effetto della modifica del secondo periodo del co. 3 dell’art. 89, D.P.R. 917/1986 è prevista la </w:t>
      </w:r>
      <w:r w:rsidRPr="00C637FA">
        <w:rPr>
          <w:rFonts w:ascii="Bookman Old Style" w:hAnsi="Bookman Old Style" w:cs="Arial"/>
          <w:bCs/>
          <w:sz w:val="22"/>
          <w:szCs w:val="22"/>
          <w:lang w:eastAsia="en-US"/>
        </w:rPr>
        <w:t>non concorrenza alla formazione del reddito dell’esercizio</w:t>
      </w:r>
      <w:r w:rsidRPr="00C637FA">
        <w:rPr>
          <w:rFonts w:ascii="Bookman Old Style" w:hAnsi="Bookman Old Style" w:cs="Arial"/>
          <w:sz w:val="22"/>
          <w:szCs w:val="22"/>
          <w:lang w:eastAsia="en-US"/>
        </w:rPr>
        <w:t xml:space="preserve">, </w:t>
      </w:r>
      <w:r w:rsidRPr="00C637FA">
        <w:rPr>
          <w:rFonts w:ascii="Bookman Old Style" w:hAnsi="Bookman Old Style" w:cs="Arial"/>
          <w:bCs/>
          <w:sz w:val="22"/>
          <w:szCs w:val="22"/>
          <w:lang w:eastAsia="en-US"/>
        </w:rPr>
        <w:t>nella misura del 50%</w:t>
      </w:r>
      <w:r w:rsidRPr="00C637FA">
        <w:rPr>
          <w:rFonts w:ascii="Bookman Old Style" w:hAnsi="Bookman Old Style" w:cs="Arial"/>
          <w:sz w:val="22"/>
          <w:szCs w:val="22"/>
          <w:lang w:eastAsia="en-US"/>
        </w:rPr>
        <w:t>, degli utili provenienti da società residenti in Stati “black list” ovvero delle remunerazioni di contratti di associazione in partecipazione stipulati con tali soggetti qualora sia dimostrato - anche a seguito di interpello - l’effettivo svolgimento, da parte del soggetto non residente, di un’attività industriale o commerciale, quale attività principale, nel mercato dello Stato di insediamento.</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 xml:space="preserve">In tal caso al soggetto controllante residente in Italia (ovvero alle sue controllate residenti percipienti gli utili) è </w:t>
      </w:r>
      <w:r w:rsidRPr="00C637FA">
        <w:rPr>
          <w:rFonts w:ascii="Bookman Old Style" w:hAnsi="Bookman Old Style" w:cs="Arial"/>
          <w:bCs/>
          <w:sz w:val="22"/>
          <w:szCs w:val="22"/>
          <w:lang w:eastAsia="en-US"/>
        </w:rPr>
        <w:t xml:space="preserve">riconosciuto un credito d’imposta </w:t>
      </w:r>
      <w:r w:rsidRPr="00C637FA">
        <w:rPr>
          <w:rFonts w:ascii="Bookman Old Style" w:hAnsi="Bookman Old Style" w:cs="Arial"/>
          <w:sz w:val="22"/>
          <w:szCs w:val="22"/>
          <w:lang w:eastAsia="en-US"/>
        </w:rPr>
        <w:t>relativamente alle imposte assolte dalla società partecipata sugli utili maturati durante il periodo di possesso della partecipazione, in proporzione alla quota imponibile degli utili conseguiti e nei limiti dell’imposta italiana relativa a tali utili.</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p>
    <w:p w:rsidR="006649DC" w:rsidRPr="00C637FA" w:rsidRDefault="006649DC" w:rsidP="003C2133">
      <w:pPr>
        <w:autoSpaceDE w:val="0"/>
        <w:autoSpaceDN w:val="0"/>
        <w:adjustRightInd w:val="0"/>
        <w:jc w:val="both"/>
        <w:rPr>
          <w:rFonts w:ascii="Bookman Old Style" w:hAnsi="Bookman Old Style" w:cs="Arial"/>
          <w:bCs/>
          <w:i/>
          <w:sz w:val="22"/>
          <w:szCs w:val="22"/>
          <w:lang w:eastAsia="en-US"/>
        </w:rPr>
      </w:pPr>
      <w:r w:rsidRPr="00C637FA">
        <w:rPr>
          <w:rFonts w:ascii="Bookman Old Style" w:hAnsi="Bookman Old Style" w:cs="Arial"/>
          <w:bCs/>
          <w:i/>
          <w:sz w:val="22"/>
          <w:szCs w:val="22"/>
          <w:lang w:eastAsia="en-US"/>
        </w:rPr>
        <w:t>Proventi da prestiti “pear to pear”</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 xml:space="preserve">I co.  43 e 44,  L. 205/2017  introducono  nell’art. 44, co. 1,  D.P.R. 917/1986,  la </w:t>
      </w:r>
      <w:r w:rsidRPr="00C637FA">
        <w:rPr>
          <w:rFonts w:ascii="Bookman Old Style" w:hAnsi="Bookman Old Style" w:cs="Arial"/>
          <w:bCs/>
          <w:sz w:val="22"/>
          <w:szCs w:val="22"/>
          <w:lang w:eastAsia="en-US"/>
        </w:rPr>
        <w:t>lett. d-bis)</w:t>
      </w:r>
      <w:r w:rsidRPr="00C637FA">
        <w:rPr>
          <w:rFonts w:ascii="Bookman Old Style" w:hAnsi="Bookman Old Style" w:cs="Arial"/>
          <w:sz w:val="22"/>
          <w:szCs w:val="22"/>
          <w:lang w:eastAsia="en-US"/>
        </w:rPr>
        <w:t xml:space="preserve">, con l’effetto che si considerano </w:t>
      </w:r>
      <w:r w:rsidRPr="00C637FA">
        <w:rPr>
          <w:rFonts w:ascii="Bookman Old Style" w:hAnsi="Bookman Old Style" w:cs="Arial"/>
          <w:bCs/>
          <w:sz w:val="22"/>
          <w:szCs w:val="22"/>
          <w:lang w:eastAsia="en-US"/>
        </w:rPr>
        <w:t xml:space="preserve">redditi di capitale anche </w:t>
      </w:r>
      <w:r w:rsidRPr="00C637FA">
        <w:rPr>
          <w:rFonts w:ascii="Bookman Old Style" w:hAnsi="Bookman Old Style" w:cs="Arial"/>
          <w:sz w:val="22"/>
          <w:szCs w:val="22"/>
          <w:lang w:eastAsia="en-US"/>
        </w:rPr>
        <w:t xml:space="preserve">i proventi derivanti da prestiti erogati tramite piattaforme di prestiti per soggetti finanziatori non professionali (cd. “piattaforme di </w:t>
      </w:r>
      <w:r w:rsidRPr="00C637FA">
        <w:rPr>
          <w:rFonts w:ascii="Bookman Old Style" w:hAnsi="Bookman Old Style" w:cs="Arial"/>
          <w:i/>
          <w:sz w:val="22"/>
          <w:szCs w:val="22"/>
          <w:lang w:eastAsia="en-US"/>
        </w:rPr>
        <w:t>Peer to Peer Lending</w:t>
      </w:r>
      <w:r w:rsidRPr="00C637FA">
        <w:rPr>
          <w:rFonts w:ascii="Bookman Old Style" w:hAnsi="Bookman Old Style" w:cs="Arial"/>
          <w:sz w:val="22"/>
          <w:szCs w:val="22"/>
          <w:lang w:eastAsia="en-US"/>
        </w:rPr>
        <w:t>”) gestite da società iscritte all’Albo degli intermediari finanziari ovvero da istituti di pagamento autorizzati dalla Banca d’Italia di cui, rispettivamente, agli artt. 106 e 114, TUB.</w:t>
      </w:r>
    </w:p>
    <w:p w:rsidR="006649DC" w:rsidRPr="00C637FA" w:rsidRDefault="006649DC" w:rsidP="003C2133">
      <w:pPr>
        <w:autoSpaceDE w:val="0"/>
        <w:autoSpaceDN w:val="0"/>
        <w:adjustRightInd w:val="0"/>
        <w:jc w:val="both"/>
        <w:rPr>
          <w:rFonts w:ascii="Bookman Old Style" w:hAnsi="Bookman Old Style" w:cs="Arial"/>
          <w:sz w:val="22"/>
          <w:szCs w:val="22"/>
          <w:lang w:eastAsia="en-US"/>
        </w:rPr>
      </w:pPr>
      <w:r w:rsidRPr="00C637FA">
        <w:rPr>
          <w:rFonts w:ascii="Bookman Old Style" w:hAnsi="Bookman Old Style" w:cs="Arial"/>
          <w:sz w:val="22"/>
          <w:szCs w:val="22"/>
          <w:lang w:eastAsia="en-US"/>
        </w:rPr>
        <w:t xml:space="preserve">I predetti “gestori”, sui redditi corrisposti a persone fisiche, devono operare una </w:t>
      </w:r>
      <w:r w:rsidRPr="00C637FA">
        <w:rPr>
          <w:rFonts w:ascii="Bookman Old Style" w:hAnsi="Bookman Old Style" w:cs="Arial"/>
          <w:bCs/>
          <w:sz w:val="22"/>
          <w:szCs w:val="22"/>
          <w:lang w:eastAsia="en-US"/>
        </w:rPr>
        <w:t>ritenuta alla fonte a titolo d’imposta nella misura del 26%</w:t>
      </w:r>
      <w:r w:rsidRPr="00C637FA">
        <w:rPr>
          <w:rFonts w:ascii="Bookman Old Style" w:hAnsi="Bookman Old Style" w:cs="Arial"/>
          <w:sz w:val="22"/>
          <w:szCs w:val="22"/>
          <w:lang w:eastAsia="en-US"/>
        </w:rPr>
        <w:t>.</w:t>
      </w:r>
    </w:p>
    <w:p w:rsidR="006649DC" w:rsidRPr="003C2133" w:rsidRDefault="006649DC" w:rsidP="003C2133">
      <w:pPr>
        <w:autoSpaceDE w:val="0"/>
        <w:autoSpaceDN w:val="0"/>
        <w:adjustRightInd w:val="0"/>
        <w:jc w:val="both"/>
        <w:rPr>
          <w:rFonts w:ascii="Bookman Old Style" w:eastAsia="SymbolOOEnc" w:hAnsi="Bookman Old Style" w:cs="Arial"/>
          <w:sz w:val="22"/>
          <w:szCs w:val="22"/>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Default="006649DC" w:rsidP="003C2133">
      <w:pPr>
        <w:autoSpaceDE w:val="0"/>
        <w:autoSpaceDN w:val="0"/>
        <w:adjustRightInd w:val="0"/>
        <w:rPr>
          <w:rFonts w:ascii="Bookman Old Style" w:hAnsi="Bookman Old Style" w:cs="Arial"/>
          <w:bCs/>
          <w:sz w:val="22"/>
          <w:szCs w:val="22"/>
          <w:u w:val="single"/>
          <w:lang w:eastAsia="en-US"/>
        </w:rPr>
      </w:pPr>
    </w:p>
    <w:p w:rsidR="006649DC" w:rsidRPr="00563908" w:rsidRDefault="006649DC" w:rsidP="00563908">
      <w:pPr>
        <w:pStyle w:val="Heading1"/>
        <w:rPr>
          <w:rFonts w:ascii="Bookman Old Style" w:hAnsi="Bookman Old Style"/>
          <w:b w:val="0"/>
          <w:u w:val="single"/>
          <w:lang w:eastAsia="en-US"/>
        </w:rPr>
      </w:pPr>
      <w:bookmarkStart w:id="182" w:name="_Toc506559972"/>
      <w:r w:rsidRPr="00563908">
        <w:rPr>
          <w:rFonts w:ascii="Bookman Old Style" w:hAnsi="Bookman Old Style"/>
          <w:b w:val="0"/>
          <w:u w:val="single"/>
          <w:lang w:eastAsia="en-US"/>
        </w:rPr>
        <w:t>Imposte dirette: bonus e detrazioni per i privati</w:t>
      </w:r>
      <w:bookmarkEnd w:id="182"/>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Diverse novità riguardano il mondo dei soggetti “privati”.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Tra esse ricordiamo quella che:</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ripropone la possibilità di rideterminare il costo fiscale di terreni e partecipazioni;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estende l’ambito temporale di applicazione dell’aliquota ridotta al 10% della cedolare secca per i canoni su immobili locati, con contratto a canone concordato, situati in zone densamente abitate;</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rivede il calcolo del cd. “bonus 80 euro”;</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innalzano (ma solo dal 2019) il limite di reddito per essere considerato fiscalmente a carico, relativamente ai figli di età fino a 24 anni;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rifinanzia il bonus strumenti musicali;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introduce una nuova detrazione per le spese relative a soggetti, anche a carico, colpiti da disturbi dell’apprendimento;</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introduce la detrazione IRPEF per i premi assicurativi per la copertura di eventi calamitosi;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introduce la detrazione IRPEF per l’acquisto di abbonamento al trasporto pubblico (questa tipologia di prestazione può essere – da parte del datore di lavoro - erogata, anche tramite rimborso, a dipendenti e familiari a carico e non concorrere alla determinazione del reddito di lavoro dipendente);</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rifinanzia il “bonus bebè”.</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3C2133" w:rsidRDefault="006649DC" w:rsidP="003C2133">
      <w:pPr>
        <w:autoSpaceDE w:val="0"/>
        <w:autoSpaceDN w:val="0"/>
        <w:adjustRightInd w:val="0"/>
        <w:jc w:val="both"/>
        <w:rPr>
          <w:rFonts w:ascii="Bookman Old Style" w:hAnsi="Bookman Old Style" w:cs="Arial"/>
          <w:bCs/>
          <w:i/>
          <w:sz w:val="22"/>
          <w:szCs w:val="22"/>
          <w:lang w:eastAsia="en-US"/>
        </w:rPr>
      </w:pPr>
      <w:r w:rsidRPr="003C2133">
        <w:rPr>
          <w:rFonts w:ascii="Bookman Old Style" w:hAnsi="Bookman Old Style" w:cs="Arial"/>
          <w:bCs/>
          <w:i/>
          <w:sz w:val="22"/>
          <w:szCs w:val="22"/>
          <w:lang w:eastAsia="en-US"/>
        </w:rPr>
        <w:t>Rivalutazione terreni e partecipazioni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I co. 997 e 998, L. 27.12.2017, n. 205 ripropone ancora una volta la possibilità di </w:t>
      </w:r>
      <w:r w:rsidRPr="003C2133">
        <w:rPr>
          <w:rFonts w:ascii="Bookman Old Style" w:hAnsi="Bookman Old Style" w:cs="Arial"/>
          <w:bCs/>
          <w:sz w:val="22"/>
          <w:szCs w:val="22"/>
          <w:lang w:eastAsia="en-US"/>
        </w:rPr>
        <w:t xml:space="preserve">rideterminare il costo fiscale </w:t>
      </w:r>
      <w:r w:rsidRPr="003C2133">
        <w:rPr>
          <w:rFonts w:ascii="Bookman Old Style" w:hAnsi="Bookman Old Style" w:cs="Arial"/>
          <w:sz w:val="22"/>
          <w:szCs w:val="22"/>
          <w:lang w:eastAsia="en-US"/>
        </w:rPr>
        <w:t>di: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eastAsia="SymbolOOEnc" w:hAnsi="Bookman Old Style" w:cs="SymbolOOEnc"/>
          <w:sz w:val="22"/>
          <w:szCs w:val="22"/>
          <w:lang w:eastAsia="en-US"/>
        </w:rPr>
        <w:t xml:space="preserve">- </w:t>
      </w:r>
      <w:r w:rsidRPr="003C2133">
        <w:rPr>
          <w:rFonts w:ascii="Bookman Old Style" w:hAnsi="Bookman Old Style" w:cs="Arial"/>
          <w:bCs/>
          <w:sz w:val="22"/>
          <w:szCs w:val="22"/>
          <w:lang w:eastAsia="en-US"/>
        </w:rPr>
        <w:t xml:space="preserve">terreni </w:t>
      </w:r>
      <w:r w:rsidRPr="003C2133">
        <w:rPr>
          <w:rFonts w:ascii="Bookman Old Style" w:hAnsi="Bookman Old Style" w:cs="Arial"/>
          <w:sz w:val="22"/>
          <w:szCs w:val="22"/>
          <w:lang w:eastAsia="en-US"/>
        </w:rPr>
        <w:t>edificabili e agricoli posseduti a titolo di proprietà, usufrutto, superficie ed enfiteusi;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eastAsia="SymbolOOEnc" w:hAnsi="Bookman Old Style" w:cs="SymbolOOEnc"/>
          <w:sz w:val="22"/>
          <w:szCs w:val="22"/>
          <w:lang w:eastAsia="en-US"/>
        </w:rPr>
        <w:t xml:space="preserve">- </w:t>
      </w:r>
      <w:r w:rsidRPr="003C2133">
        <w:rPr>
          <w:rFonts w:ascii="Bookman Old Style" w:hAnsi="Bookman Old Style" w:cs="Arial"/>
          <w:bCs/>
          <w:sz w:val="22"/>
          <w:szCs w:val="22"/>
          <w:lang w:eastAsia="en-US"/>
        </w:rPr>
        <w:t xml:space="preserve">partecipazioni </w:t>
      </w:r>
      <w:r w:rsidRPr="003C2133">
        <w:rPr>
          <w:rFonts w:ascii="Bookman Old Style" w:hAnsi="Bookman Old Style" w:cs="Arial"/>
          <w:sz w:val="22"/>
          <w:szCs w:val="22"/>
          <w:lang w:eastAsia="en-US"/>
        </w:rPr>
        <w:t>non quotate in mercati regolamentati, possedute a titolo di proprietà o usufrutto.</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I beni devono essere valutati alla</w:t>
      </w:r>
      <w:r w:rsidRPr="003C2133">
        <w:rPr>
          <w:rFonts w:ascii="Bookman Old Style" w:hAnsi="Bookman Old Style" w:cs="Arial"/>
          <w:bCs/>
          <w:sz w:val="22"/>
          <w:szCs w:val="22"/>
          <w:lang w:eastAsia="en-US"/>
        </w:rPr>
        <w:t xml:space="preserve"> data dell’1.1.2018</w:t>
      </w:r>
      <w:r w:rsidRPr="003C2133">
        <w:rPr>
          <w:rFonts w:ascii="Bookman Old Style" w:hAnsi="Bookman Old Style" w:cs="Arial"/>
          <w:sz w:val="22"/>
          <w:szCs w:val="22"/>
          <w:lang w:eastAsia="en-US"/>
        </w:rPr>
        <w:t>, e devono essere detenuti - non in regime d’impresa - da parte di persone fisiche, società semplici e associazioni professionali, nonché di enti non commerciali.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È fissato al </w:t>
      </w:r>
      <w:r w:rsidRPr="003C2133">
        <w:rPr>
          <w:rFonts w:ascii="Bookman Old Style" w:hAnsi="Bookman Old Style" w:cs="Arial"/>
          <w:bCs/>
          <w:sz w:val="22"/>
          <w:szCs w:val="22"/>
          <w:lang w:eastAsia="en-US"/>
        </w:rPr>
        <w:t xml:space="preserve">30.6.2018 </w:t>
      </w:r>
      <w:r w:rsidRPr="003C2133">
        <w:rPr>
          <w:rFonts w:ascii="Bookman Old Style" w:hAnsi="Bookman Old Style" w:cs="Arial"/>
          <w:sz w:val="22"/>
          <w:szCs w:val="22"/>
          <w:lang w:eastAsia="en-US"/>
        </w:rPr>
        <w:t>il termine entro il quale provvedere:</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eastAsia="SymbolOOEnc" w:hAnsi="Bookman Old Style" w:cs="SymbolOOEnc"/>
          <w:sz w:val="22"/>
          <w:szCs w:val="22"/>
          <w:lang w:eastAsia="en-US"/>
        </w:rPr>
        <w:t xml:space="preserve">- </w:t>
      </w:r>
      <w:r w:rsidRPr="003C2133">
        <w:rPr>
          <w:rFonts w:ascii="Bookman Old Style" w:hAnsi="Bookman Old Style" w:cs="Arial"/>
          <w:sz w:val="22"/>
          <w:szCs w:val="22"/>
          <w:lang w:eastAsia="en-US"/>
        </w:rPr>
        <w:t xml:space="preserve">alla </w:t>
      </w:r>
      <w:r w:rsidRPr="003C2133">
        <w:rPr>
          <w:rFonts w:ascii="Bookman Old Style" w:hAnsi="Bookman Old Style" w:cs="Arial"/>
          <w:bCs/>
          <w:sz w:val="22"/>
          <w:szCs w:val="22"/>
          <w:lang w:eastAsia="en-US"/>
        </w:rPr>
        <w:t xml:space="preserve">redazione </w:t>
      </w:r>
      <w:r w:rsidRPr="003C2133">
        <w:rPr>
          <w:rFonts w:ascii="Bookman Old Style" w:hAnsi="Bookman Old Style" w:cs="Arial"/>
          <w:sz w:val="22"/>
          <w:szCs w:val="22"/>
          <w:lang w:eastAsia="en-US"/>
        </w:rPr>
        <w:t>ed all’</w:t>
      </w:r>
      <w:r w:rsidRPr="003C2133">
        <w:rPr>
          <w:rFonts w:ascii="Bookman Old Style" w:hAnsi="Bookman Old Style" w:cs="Arial"/>
          <w:bCs/>
          <w:sz w:val="22"/>
          <w:szCs w:val="22"/>
          <w:lang w:eastAsia="en-US"/>
        </w:rPr>
        <w:t xml:space="preserve">asseverazione della perizia </w:t>
      </w:r>
      <w:r w:rsidRPr="003C2133">
        <w:rPr>
          <w:rFonts w:ascii="Bookman Old Style" w:hAnsi="Bookman Old Style" w:cs="Arial"/>
          <w:sz w:val="22"/>
          <w:szCs w:val="22"/>
          <w:lang w:eastAsia="en-US"/>
        </w:rPr>
        <w:t>di stima;</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eastAsia="SymbolOOEnc" w:hAnsi="Bookman Old Style" w:cs="SymbolOOEnc"/>
          <w:sz w:val="22"/>
          <w:szCs w:val="22"/>
          <w:lang w:eastAsia="en-US"/>
        </w:rPr>
        <w:t xml:space="preserve">- </w:t>
      </w:r>
      <w:r w:rsidRPr="003C2133">
        <w:rPr>
          <w:rFonts w:ascii="Bookman Old Style" w:hAnsi="Bookman Old Style" w:cs="Arial"/>
          <w:sz w:val="22"/>
          <w:szCs w:val="22"/>
          <w:lang w:eastAsia="en-US"/>
        </w:rPr>
        <w:t xml:space="preserve">al </w:t>
      </w:r>
      <w:r w:rsidRPr="003C2133">
        <w:rPr>
          <w:rFonts w:ascii="Bookman Old Style" w:hAnsi="Bookman Old Style" w:cs="Arial"/>
          <w:bCs/>
          <w:sz w:val="22"/>
          <w:szCs w:val="22"/>
          <w:lang w:eastAsia="en-US"/>
        </w:rPr>
        <w:t>versamento dell’imposta sostitutiva</w:t>
      </w:r>
      <w:r w:rsidRPr="003C2133">
        <w:rPr>
          <w:rFonts w:ascii="Bookman Old Style" w:hAnsi="Bookman Old Style" w:cs="Arial"/>
          <w:sz w:val="22"/>
          <w:szCs w:val="22"/>
          <w:lang w:eastAsia="en-US"/>
        </w:rPr>
        <w:t>, pari all’8%.</w:t>
      </w:r>
    </w:p>
    <w:p w:rsidR="006649DC" w:rsidRDefault="006649DC" w:rsidP="003C2133">
      <w:pPr>
        <w:autoSpaceDE w:val="0"/>
        <w:autoSpaceDN w:val="0"/>
        <w:adjustRightInd w:val="0"/>
        <w:jc w:val="both"/>
        <w:rPr>
          <w:rFonts w:ascii="Bookman Old Style" w:hAnsi="Bookman Old Style" w:cs="Arial"/>
          <w:sz w:val="22"/>
          <w:szCs w:val="22"/>
          <w:lang w:eastAsia="en-US"/>
        </w:rPr>
      </w:pPr>
    </w:p>
    <w:p w:rsidR="006649DC" w:rsidRPr="003C2133" w:rsidRDefault="006649DC" w:rsidP="003C2133">
      <w:pPr>
        <w:autoSpaceDE w:val="0"/>
        <w:autoSpaceDN w:val="0"/>
        <w:adjustRightInd w:val="0"/>
        <w:jc w:val="both"/>
        <w:rPr>
          <w:rFonts w:ascii="Bookman Old Style" w:eastAsia="SymbolOOEnc" w:hAnsi="Bookman Old Style" w:cs="Arial"/>
          <w:bCs/>
          <w:i/>
          <w:sz w:val="22"/>
          <w:szCs w:val="22"/>
          <w:lang w:eastAsia="en-US"/>
        </w:rPr>
      </w:pPr>
      <w:r w:rsidRPr="003C2133">
        <w:rPr>
          <w:rFonts w:ascii="Bookman Old Style" w:eastAsia="SymbolOOEnc" w:hAnsi="Bookman Old Style" w:cs="Arial"/>
          <w:bCs/>
          <w:i/>
          <w:sz w:val="22"/>
          <w:szCs w:val="22"/>
          <w:lang w:eastAsia="en-US"/>
        </w:rPr>
        <w:t>Cedolare secca canoni concordati</w:t>
      </w:r>
    </w:p>
    <w:p w:rsidR="006649DC" w:rsidRPr="003C2133" w:rsidRDefault="006649DC" w:rsidP="003C2133">
      <w:pPr>
        <w:autoSpaceDE w:val="0"/>
        <w:autoSpaceDN w:val="0"/>
        <w:adjustRightInd w:val="0"/>
        <w:jc w:val="both"/>
        <w:rPr>
          <w:rFonts w:ascii="Bookman Old Style" w:eastAsia="SymbolOOEnc" w:hAnsi="Bookman Old Style" w:cs="Arial"/>
          <w:sz w:val="22"/>
          <w:szCs w:val="22"/>
          <w:lang w:eastAsia="en-US"/>
        </w:rPr>
      </w:pPr>
      <w:r w:rsidRPr="003C2133">
        <w:rPr>
          <w:rFonts w:ascii="Bookman Old Style" w:eastAsia="SymbolOOEnc" w:hAnsi="Bookman Old Style" w:cs="Arial"/>
          <w:sz w:val="22"/>
          <w:szCs w:val="22"/>
          <w:lang w:eastAsia="en-US"/>
        </w:rPr>
        <w:t>Il co. 16, L. 205/2017 estende il periodo di applicazione dell’aliquota al 10% della cedolare secca.</w:t>
      </w:r>
    </w:p>
    <w:p w:rsidR="006649DC" w:rsidRPr="003C2133" w:rsidRDefault="006649DC" w:rsidP="003C2133">
      <w:pPr>
        <w:autoSpaceDE w:val="0"/>
        <w:autoSpaceDN w:val="0"/>
        <w:adjustRightInd w:val="0"/>
        <w:jc w:val="both"/>
        <w:rPr>
          <w:rFonts w:ascii="Bookman Old Style" w:eastAsia="SymbolOOEnc" w:hAnsi="Bookman Old Style" w:cs="Arial"/>
          <w:sz w:val="22"/>
          <w:szCs w:val="22"/>
          <w:lang w:eastAsia="en-US"/>
        </w:rPr>
      </w:pPr>
      <w:r w:rsidRPr="003C2133">
        <w:rPr>
          <w:rFonts w:ascii="Bookman Old Style" w:eastAsia="SymbolOOEnc" w:hAnsi="Bookman Old Style" w:cs="Arial"/>
          <w:sz w:val="22"/>
          <w:szCs w:val="22"/>
          <w:lang w:eastAsia="en-US"/>
        </w:rPr>
        <w:t>L’art. 9, co. 1, D.L. 47/2014 aveva già previsto l’applicazione della cedolare secca con l’</w:t>
      </w:r>
      <w:r w:rsidRPr="003C2133">
        <w:rPr>
          <w:rFonts w:ascii="Bookman Old Style" w:eastAsia="SymbolOOEnc" w:hAnsi="Bookman Old Style" w:cs="Arial"/>
          <w:bCs/>
          <w:sz w:val="22"/>
          <w:szCs w:val="22"/>
          <w:lang w:eastAsia="en-US"/>
        </w:rPr>
        <w:t>aliquota ridotta del 10% per i contratti a canone concordato</w:t>
      </w:r>
      <w:r w:rsidRPr="003C2133">
        <w:rPr>
          <w:rFonts w:ascii="Bookman Old Style" w:eastAsia="SymbolOOEnc" w:hAnsi="Bookman Old Style" w:cs="Arial"/>
          <w:sz w:val="22"/>
          <w:szCs w:val="22"/>
          <w:lang w:eastAsia="en-US"/>
        </w:rPr>
        <w:t xml:space="preserve">, ossia stipulati secondo le disposizioni di cui agli artt. 2, co. 3, e 8, L. 431/1998, </w:t>
      </w:r>
      <w:r w:rsidRPr="003C2133">
        <w:rPr>
          <w:rFonts w:ascii="Bookman Old Style" w:eastAsia="SymbolOOEnc" w:hAnsi="Bookman Old Style" w:cs="Arial"/>
          <w:bCs/>
          <w:sz w:val="22"/>
          <w:szCs w:val="22"/>
          <w:lang w:eastAsia="en-US"/>
        </w:rPr>
        <w:t xml:space="preserve">relativi ad abitazioni ubicate </w:t>
      </w:r>
      <w:r w:rsidRPr="003C2133">
        <w:rPr>
          <w:rFonts w:ascii="Bookman Old Style" w:eastAsia="SymbolOOEnc" w:hAnsi="Bookman Old Style" w:cs="Arial"/>
          <w:sz w:val="22"/>
          <w:szCs w:val="22"/>
          <w:lang w:eastAsia="en-US"/>
        </w:rPr>
        <w:t>nei Comuni di cui all'art. 1, co. 1, lett. a) e b), D.L. 551/1988 e negli altri Comuni ad alta tensione abitativa individuati dal CIPE.</w:t>
      </w:r>
    </w:p>
    <w:p w:rsidR="006649DC" w:rsidRPr="003C2133" w:rsidRDefault="006649DC" w:rsidP="003C2133">
      <w:pPr>
        <w:autoSpaceDE w:val="0"/>
        <w:autoSpaceDN w:val="0"/>
        <w:adjustRightInd w:val="0"/>
        <w:jc w:val="both"/>
        <w:rPr>
          <w:rFonts w:ascii="Bookman Old Style" w:eastAsia="SymbolOOEnc" w:hAnsi="Bookman Old Style" w:cs="Arial"/>
          <w:sz w:val="22"/>
          <w:szCs w:val="22"/>
          <w:lang w:eastAsia="en-US"/>
        </w:rPr>
      </w:pPr>
      <w:r w:rsidRPr="003C2133">
        <w:rPr>
          <w:rFonts w:ascii="Bookman Old Style" w:eastAsia="SymbolOOEnc" w:hAnsi="Bookman Old Style" w:cs="Arial"/>
          <w:sz w:val="22"/>
          <w:szCs w:val="22"/>
          <w:lang w:eastAsia="en-US"/>
        </w:rPr>
        <w:t>Si rammenta che tale agevolazione è riconosciuta anche per il contratto a canone concordato relativo ad un immobile ubicato in un Comune per il quale è stato deliberato lo stato di emergenza nei 5 anni precedenti il 28.5.2014 ovvero in un Comune colpito da eventi eccezionali (a prescindere dal requisito dell’alta tensione abitativa) nonché nel caso in cui il contratto sia stipulato per soddisfare le esigenze abitative di studenti universitari.</w:t>
      </w:r>
    </w:p>
    <w:p w:rsidR="006649DC" w:rsidRPr="003C2133" w:rsidRDefault="006649DC" w:rsidP="003C2133">
      <w:pPr>
        <w:autoSpaceDE w:val="0"/>
        <w:autoSpaceDN w:val="0"/>
        <w:adjustRightInd w:val="0"/>
        <w:jc w:val="both"/>
        <w:rPr>
          <w:rFonts w:ascii="Bookman Old Style" w:eastAsia="SymbolOOEnc" w:hAnsi="Bookman Old Style" w:cs="Arial"/>
          <w:sz w:val="22"/>
          <w:szCs w:val="22"/>
          <w:lang w:eastAsia="en-US"/>
        </w:rPr>
      </w:pPr>
      <w:r w:rsidRPr="003C2133">
        <w:rPr>
          <w:rFonts w:ascii="Bookman Old Style" w:eastAsia="SymbolOOEnc" w:hAnsi="Bookman Old Style" w:cs="Arial"/>
          <w:sz w:val="22"/>
          <w:szCs w:val="22"/>
          <w:lang w:eastAsia="en-US"/>
        </w:rPr>
        <w:t>Il D.L. 47/2014 aveva previsto l’aliquota al 10% per il quadriennio 2014 – 2017.</w:t>
      </w:r>
    </w:p>
    <w:p w:rsidR="006649DC" w:rsidRPr="003C2133" w:rsidRDefault="006649DC" w:rsidP="003C2133">
      <w:pPr>
        <w:autoSpaceDE w:val="0"/>
        <w:autoSpaceDN w:val="0"/>
        <w:adjustRightInd w:val="0"/>
        <w:jc w:val="both"/>
        <w:rPr>
          <w:rFonts w:ascii="Bookman Old Style" w:eastAsia="SymbolOOEnc" w:hAnsi="Bookman Old Style" w:cs="Arial"/>
          <w:sz w:val="22"/>
          <w:szCs w:val="22"/>
          <w:lang w:eastAsia="en-US"/>
        </w:rPr>
      </w:pPr>
      <w:r w:rsidRPr="003C2133">
        <w:rPr>
          <w:rFonts w:ascii="Bookman Old Style" w:eastAsia="SymbolOOEnc" w:hAnsi="Bookman Old Style" w:cs="Arial"/>
          <w:sz w:val="22"/>
          <w:szCs w:val="22"/>
          <w:lang w:eastAsia="en-US"/>
        </w:rPr>
        <w:t>Con la Legge di bilancio 2018 si estende il periodo di applicazione fino all’anno 2019.</w:t>
      </w:r>
    </w:p>
    <w:p w:rsidR="006649DC" w:rsidRPr="003C2133" w:rsidRDefault="006649DC" w:rsidP="003C2133">
      <w:pPr>
        <w:jc w:val="both"/>
        <w:rPr>
          <w:rFonts w:ascii="Bookman Old Style" w:eastAsia="SymbolOOEnc" w:hAnsi="Bookman Old Style" w:cs="Arial"/>
          <w:sz w:val="22"/>
          <w:szCs w:val="22"/>
          <w:lang w:eastAsia="en-US"/>
        </w:rPr>
      </w:pPr>
    </w:p>
    <w:p w:rsidR="006649DC" w:rsidRPr="003C2133" w:rsidRDefault="006649DC" w:rsidP="003C2133">
      <w:pPr>
        <w:autoSpaceDE w:val="0"/>
        <w:autoSpaceDN w:val="0"/>
        <w:adjustRightInd w:val="0"/>
        <w:jc w:val="both"/>
        <w:rPr>
          <w:rFonts w:ascii="Bookman Old Style" w:hAnsi="Bookman Old Style" w:cs="Arial"/>
          <w:bCs/>
          <w:i/>
          <w:sz w:val="22"/>
          <w:szCs w:val="22"/>
          <w:lang w:eastAsia="en-US"/>
        </w:rPr>
      </w:pPr>
      <w:r w:rsidRPr="003C2133">
        <w:rPr>
          <w:rFonts w:ascii="Bookman Old Style" w:hAnsi="Bookman Old Style" w:cs="Arial"/>
          <w:bCs/>
          <w:i/>
          <w:sz w:val="22"/>
          <w:szCs w:val="22"/>
          <w:lang w:eastAsia="en-US"/>
        </w:rPr>
        <w:t>Bonus 80 euro</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Il co. 132, L. 205/2017  rivede il meccanismo di attribuzione del credito (detrazione che comporta la riduzione dell’IRPEF) di cui all’art. 13, co. 1-bis, D.P.R. 917/1986 (il cd. “Bonus 80 Euro”).</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L’importo della detrazione spetta in misura differenziata a seconda dell’ammontare del reddito complessivo, come di seguito illustrato.</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i/>
          <w:sz w:val="22"/>
          <w:szCs w:val="22"/>
          <w:lang w:eastAsia="en-US"/>
        </w:rPr>
        <w:t>Formula di determinazione del bonus 80 euro</w:t>
      </w:r>
      <w:r w:rsidRPr="003C2133">
        <w:rPr>
          <w:rFonts w:ascii="Bookman Old Style" w:hAnsi="Bookman Old Style" w:cs="Arial"/>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15"/>
        <w:gridCol w:w="5613"/>
      </w:tblGrid>
      <w:tr w:rsidR="006649DC" w:rsidRPr="003C2133" w:rsidTr="0065205C">
        <w:tc>
          <w:tcPr>
            <w:tcW w:w="4077" w:type="dxa"/>
          </w:tcPr>
          <w:p w:rsidR="006649DC" w:rsidRPr="0065205C" w:rsidRDefault="006649DC" w:rsidP="0065205C">
            <w:pPr>
              <w:autoSpaceDE w:val="0"/>
              <w:autoSpaceDN w:val="0"/>
              <w:adjustRightInd w:val="0"/>
              <w:jc w:val="center"/>
              <w:rPr>
                <w:rFonts w:ascii="Bookman Old Style" w:hAnsi="Bookman Old Style" w:cs="Arial"/>
                <w:i/>
                <w:lang w:eastAsia="en-US"/>
              </w:rPr>
            </w:pPr>
            <w:r w:rsidRPr="0065205C">
              <w:rPr>
                <w:rFonts w:ascii="Bookman Old Style" w:hAnsi="Bookman Old Style" w:cs="Arial"/>
                <w:i/>
                <w:lang w:eastAsia="en-US"/>
              </w:rPr>
              <w:t>Reddito complessivo</w:t>
            </w:r>
          </w:p>
        </w:tc>
        <w:tc>
          <w:tcPr>
            <w:tcW w:w="5701" w:type="dxa"/>
          </w:tcPr>
          <w:p w:rsidR="006649DC" w:rsidRPr="0065205C" w:rsidRDefault="006649DC" w:rsidP="0065205C">
            <w:pPr>
              <w:autoSpaceDE w:val="0"/>
              <w:autoSpaceDN w:val="0"/>
              <w:adjustRightInd w:val="0"/>
              <w:jc w:val="center"/>
              <w:rPr>
                <w:rFonts w:ascii="Bookman Old Style" w:hAnsi="Bookman Old Style" w:cs="Arial"/>
                <w:i/>
                <w:lang w:eastAsia="en-US"/>
              </w:rPr>
            </w:pPr>
            <w:r w:rsidRPr="0065205C">
              <w:rPr>
                <w:rFonts w:ascii="Bookman Old Style" w:hAnsi="Bookman Old Style" w:cs="Arial"/>
                <w:i/>
                <w:lang w:eastAsia="en-US"/>
              </w:rPr>
              <w:t>Detrazione spettante</w:t>
            </w:r>
          </w:p>
        </w:tc>
      </w:tr>
      <w:tr w:rsidR="006649DC" w:rsidRPr="003C2133" w:rsidTr="0065205C">
        <w:tc>
          <w:tcPr>
            <w:tcW w:w="4077" w:type="dxa"/>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Fino a 24.600 euro</w:t>
            </w:r>
          </w:p>
        </w:tc>
        <w:tc>
          <w:tcPr>
            <w:tcW w:w="5701"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960 euro</w:t>
            </w:r>
          </w:p>
        </w:tc>
      </w:tr>
      <w:tr w:rsidR="006649DC" w:rsidRPr="003C2133" w:rsidTr="0065205C">
        <w:tc>
          <w:tcPr>
            <w:tcW w:w="4077" w:type="dxa"/>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Tra oltre 24.600 euro e fino a 26.600 euro</w:t>
            </w:r>
          </w:p>
        </w:tc>
        <w:tc>
          <w:tcPr>
            <w:tcW w:w="5701" w:type="dxa"/>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Importo spettante dall’applicazione della seguente formula:</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 xml:space="preserve">                   26.600 euro – reddito complessivo</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960 euro  X  -------------------------------------------</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 xml:space="preserve">                                        2.000</w:t>
            </w:r>
          </w:p>
        </w:tc>
      </w:tr>
      <w:tr w:rsidR="006649DC" w:rsidRPr="003C2133" w:rsidTr="0065205C">
        <w:tc>
          <w:tcPr>
            <w:tcW w:w="4077" w:type="dxa"/>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Oltre 26.600 euro</w:t>
            </w:r>
          </w:p>
        </w:tc>
        <w:tc>
          <w:tcPr>
            <w:tcW w:w="5701"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zero</w:t>
            </w:r>
          </w:p>
        </w:tc>
      </w:tr>
    </w:tbl>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3C2133" w:rsidRDefault="006649DC" w:rsidP="003C2133">
      <w:pPr>
        <w:jc w:val="both"/>
        <w:rPr>
          <w:rFonts w:ascii="Bookman Old Style" w:hAnsi="Bookman Old Style" w:cs="Arial"/>
          <w:sz w:val="22"/>
          <w:szCs w:val="22"/>
          <w:lang w:eastAsia="en-US"/>
        </w:rPr>
      </w:pPr>
    </w:p>
    <w:p w:rsidR="006649DC" w:rsidRPr="003C2133" w:rsidRDefault="006649DC" w:rsidP="003C2133">
      <w:pPr>
        <w:jc w:val="both"/>
        <w:rPr>
          <w:rFonts w:ascii="Bookman Old Style" w:hAnsi="Bookman Old Style"/>
          <w:i/>
          <w:sz w:val="22"/>
          <w:szCs w:val="22"/>
        </w:rPr>
      </w:pPr>
      <w:r>
        <w:rPr>
          <w:rFonts w:ascii="Bookman Old Style" w:hAnsi="Bookman Old Style"/>
          <w:i/>
          <w:sz w:val="22"/>
          <w:szCs w:val="22"/>
        </w:rPr>
        <w:t>D</w:t>
      </w:r>
      <w:r w:rsidRPr="003C2133">
        <w:rPr>
          <w:rFonts w:ascii="Bookman Old Style" w:hAnsi="Bookman Old Style"/>
          <w:i/>
          <w:sz w:val="22"/>
          <w:szCs w:val="22"/>
        </w:rPr>
        <w:t>etrazione figli a carico</w:t>
      </w:r>
    </w:p>
    <w:p w:rsidR="006649DC" w:rsidRPr="003C2133" w:rsidRDefault="006649DC" w:rsidP="003C2133">
      <w:pPr>
        <w:jc w:val="both"/>
        <w:rPr>
          <w:rFonts w:ascii="Bookman Old Style" w:hAnsi="Bookman Old Style" w:cs="Arial"/>
          <w:sz w:val="22"/>
          <w:szCs w:val="22"/>
          <w:lang w:eastAsia="en-US"/>
        </w:rPr>
      </w:pPr>
      <w:r w:rsidRPr="003C2133">
        <w:rPr>
          <w:rFonts w:ascii="Bookman Old Style" w:hAnsi="Bookman Old Style"/>
          <w:sz w:val="22"/>
          <w:szCs w:val="22"/>
        </w:rPr>
        <w:t xml:space="preserve">I co. 252 e 253, L. 205/2017 modificano l’art. 12, co. 2, D.P.R. 917/1986 al fine di innalzare a 4.000 euro il limite di </w:t>
      </w:r>
      <w:r w:rsidRPr="003C2133">
        <w:rPr>
          <w:rFonts w:ascii="Bookman Old Style" w:hAnsi="Bookman Old Style" w:cs="Arial"/>
          <w:sz w:val="22"/>
          <w:szCs w:val="22"/>
          <w:lang w:eastAsia="en-US"/>
        </w:rPr>
        <w:t xml:space="preserve">reddito per essere considerati fiscalmente a carico </w:t>
      </w:r>
      <w:r w:rsidRPr="003C2133">
        <w:rPr>
          <w:rFonts w:ascii="Bookman Old Style" w:hAnsi="Bookman Old Style" w:cs="Arial"/>
          <w:bCs/>
          <w:sz w:val="22"/>
          <w:szCs w:val="22"/>
          <w:lang w:eastAsia="en-US"/>
        </w:rPr>
        <w:t>per i figli di età non superiore a 24 anni</w:t>
      </w:r>
      <w:r w:rsidRPr="003C2133">
        <w:rPr>
          <w:rFonts w:ascii="Bookman Old Style" w:hAnsi="Bookman Old Style" w:cs="Arial"/>
          <w:sz w:val="22"/>
          <w:szCs w:val="22"/>
          <w:lang w:eastAsia="en-US"/>
        </w:rPr>
        <w:t xml:space="preserve">. </w:t>
      </w:r>
    </w:p>
    <w:p w:rsidR="006649DC" w:rsidRPr="003C2133" w:rsidRDefault="006649DC" w:rsidP="003C2133">
      <w:pPr>
        <w:jc w:val="both"/>
        <w:rPr>
          <w:rFonts w:ascii="Bookman Old Style" w:hAnsi="Bookman Old Style"/>
          <w:sz w:val="22"/>
          <w:szCs w:val="22"/>
        </w:rPr>
      </w:pPr>
      <w:r w:rsidRPr="003C2133">
        <w:rPr>
          <w:rFonts w:ascii="Bookman Old Style" w:hAnsi="Bookman Old Style" w:cs="Arial"/>
          <w:sz w:val="22"/>
          <w:szCs w:val="22"/>
          <w:lang w:eastAsia="en-US"/>
        </w:rPr>
        <w:t xml:space="preserve">Il nuovo limite di reddito </w:t>
      </w:r>
      <w:r w:rsidRPr="003C2133">
        <w:rPr>
          <w:rFonts w:ascii="Bookman Old Style" w:hAnsi="Bookman Old Style" w:cs="Arial"/>
          <w:bCs/>
          <w:sz w:val="22"/>
          <w:szCs w:val="22"/>
          <w:lang w:eastAsia="en-US"/>
        </w:rPr>
        <w:t>decorre dall’1.1.2019</w:t>
      </w:r>
      <w:r w:rsidRPr="003C2133">
        <w:rPr>
          <w:rFonts w:ascii="Bookman Old Style" w:hAnsi="Bookman Old Style" w:cs="Arial"/>
          <w:sz w:val="22"/>
          <w:szCs w:val="22"/>
          <w:lang w:eastAsia="en-US"/>
        </w:rPr>
        <w:t>.</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3C2133" w:rsidRDefault="006649DC" w:rsidP="003C2133">
      <w:pPr>
        <w:autoSpaceDE w:val="0"/>
        <w:autoSpaceDN w:val="0"/>
        <w:adjustRightInd w:val="0"/>
        <w:jc w:val="both"/>
        <w:rPr>
          <w:rFonts w:ascii="Bookman Old Style" w:hAnsi="Bookman Old Style" w:cs="Arial"/>
          <w:bCs/>
          <w:i/>
          <w:sz w:val="22"/>
          <w:szCs w:val="22"/>
          <w:lang w:eastAsia="en-US"/>
        </w:rPr>
      </w:pPr>
      <w:r>
        <w:rPr>
          <w:rFonts w:ascii="Bookman Old Style" w:hAnsi="Bookman Old Style" w:cs="Arial"/>
          <w:bCs/>
          <w:i/>
          <w:sz w:val="22"/>
          <w:szCs w:val="22"/>
          <w:lang w:eastAsia="en-US"/>
        </w:rPr>
        <w:t>D</w:t>
      </w:r>
      <w:r w:rsidRPr="003C2133">
        <w:rPr>
          <w:rFonts w:ascii="Bookman Old Style" w:hAnsi="Bookman Old Style" w:cs="Arial"/>
          <w:bCs/>
          <w:i/>
          <w:sz w:val="22"/>
          <w:szCs w:val="22"/>
          <w:lang w:eastAsia="en-US"/>
        </w:rPr>
        <w:t>etrazione studenti universitari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I co. 23 e 24, L. 205/2017 riscrive le condizioni per fruire della detrazione IRPEF del 19% sulle spese per canoni di locazione sostenute da studenti universitari “fuori sede”: si tratta – secondo la previgente formulazione - degli studenti iscritti ad un corso di laurea presso una università ubicata in un comune diverso da quello di residenza, distante da quest'ultimo almeno 100 chilometri e comunque in una provincia diversa (art. 15, co. 1, lett. i-sexies), D.P.R. 917/1986).</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A  distanza di poche settimane dal precedente intervento  in materia - operato  dall’art.  8-bis, D.L. 148/2017 (cd. “Collegato alla Manovra 2018”) – la Legge di bilancio 2018 rivede le condizioni per fruire della detrazione in parola, abrogando il citato art. 8-bis, D.L. 148/2017, il cui contenuto sostanziale è trasfuso nell’art. 15, co. 1, D.P.R. 917/1986 mediante la riscrittura della l</w:t>
      </w:r>
      <w:r w:rsidRPr="003C2133">
        <w:rPr>
          <w:rFonts w:ascii="Bookman Old Style" w:hAnsi="Bookman Old Style" w:cs="Arial"/>
          <w:bCs/>
          <w:sz w:val="22"/>
          <w:szCs w:val="22"/>
          <w:lang w:eastAsia="en-US"/>
        </w:rPr>
        <w:t>ett. i-sexies) e mediante l’introduzione della nuova lett. i-sexies.01).</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Nello specifico, con riferimento al luogo di ubicazione dell’Università rispetto alla residenza dello studente, </w:t>
      </w:r>
      <w:r w:rsidRPr="003C2133">
        <w:rPr>
          <w:rFonts w:ascii="Bookman Old Style" w:hAnsi="Bookman Old Style" w:cs="Arial"/>
          <w:bCs/>
          <w:sz w:val="22"/>
          <w:szCs w:val="22"/>
          <w:lang w:eastAsia="en-US"/>
        </w:rPr>
        <w:t>soltanto per il 2017 e il 2018</w:t>
      </w:r>
      <w:r w:rsidRPr="003C2133">
        <w:rPr>
          <w:rFonts w:ascii="Bookman Old Style" w:hAnsi="Bookman Old Style" w:cs="Arial"/>
          <w:sz w:val="22"/>
          <w:szCs w:val="22"/>
          <w:lang w:eastAsia="en-US"/>
        </w:rPr>
        <w:t>, la detrazione in esame è riconosciuta a favore degli studenti: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eastAsia="SymbolOOEnc" w:hAnsi="Bookman Old Style" w:cs="SymbolOOEnc"/>
          <w:sz w:val="22"/>
          <w:szCs w:val="22"/>
          <w:lang w:eastAsia="en-US"/>
        </w:rPr>
        <w:t xml:space="preserve">- </w:t>
      </w:r>
      <w:r w:rsidRPr="003C2133">
        <w:rPr>
          <w:rFonts w:ascii="Bookman Old Style" w:hAnsi="Bookman Old Style" w:cs="Arial"/>
          <w:sz w:val="22"/>
          <w:szCs w:val="22"/>
          <w:lang w:eastAsia="en-US"/>
        </w:rPr>
        <w:t xml:space="preserve">iscritti ad un corso di laurea presso una </w:t>
      </w:r>
      <w:r w:rsidRPr="003C2133">
        <w:rPr>
          <w:rFonts w:ascii="Bookman Old Style" w:hAnsi="Bookman Old Style" w:cs="Arial"/>
          <w:bCs/>
          <w:sz w:val="22"/>
          <w:szCs w:val="22"/>
          <w:lang w:eastAsia="en-US"/>
        </w:rPr>
        <w:t xml:space="preserve">Università </w:t>
      </w:r>
      <w:r w:rsidRPr="003C2133">
        <w:rPr>
          <w:rFonts w:ascii="Bookman Old Style" w:hAnsi="Bookman Old Style" w:cs="Arial"/>
          <w:sz w:val="22"/>
          <w:szCs w:val="22"/>
          <w:lang w:eastAsia="en-US"/>
        </w:rPr>
        <w:t xml:space="preserve">situata in un Comune </w:t>
      </w:r>
      <w:r w:rsidRPr="003C2133">
        <w:rPr>
          <w:rFonts w:ascii="Bookman Old Style" w:hAnsi="Bookman Old Style" w:cs="Arial"/>
          <w:bCs/>
          <w:sz w:val="22"/>
          <w:szCs w:val="22"/>
          <w:lang w:eastAsia="en-US"/>
        </w:rPr>
        <w:t xml:space="preserve">distante almeno 100 km </w:t>
      </w:r>
      <w:r w:rsidRPr="003C2133">
        <w:rPr>
          <w:rFonts w:ascii="Bookman Old Style" w:hAnsi="Bookman Old Style" w:cs="Arial"/>
          <w:sz w:val="22"/>
          <w:szCs w:val="22"/>
          <w:lang w:eastAsia="en-US"/>
        </w:rPr>
        <w:t>dal Comune di residenza (non montano e non in una zona disagiata);</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eastAsia="SymbolOOEnc" w:hAnsi="Bookman Old Style" w:cs="SymbolOOEnc"/>
          <w:sz w:val="22"/>
          <w:szCs w:val="22"/>
          <w:lang w:eastAsia="en-US"/>
        </w:rPr>
        <w:t xml:space="preserve">- </w:t>
      </w:r>
      <w:r w:rsidRPr="003C2133">
        <w:rPr>
          <w:rFonts w:ascii="Bookman Old Style" w:hAnsi="Bookman Old Style" w:cs="Arial"/>
          <w:bCs/>
          <w:sz w:val="22"/>
          <w:szCs w:val="22"/>
          <w:lang w:eastAsia="en-US"/>
        </w:rPr>
        <w:t xml:space="preserve">residenti in una zona montana ovvero disagiata </w:t>
      </w:r>
      <w:r w:rsidRPr="003C2133">
        <w:rPr>
          <w:rFonts w:ascii="Bookman Old Style" w:hAnsi="Bookman Old Style" w:cs="Arial"/>
          <w:sz w:val="22"/>
          <w:szCs w:val="22"/>
          <w:lang w:eastAsia="en-US"/>
        </w:rPr>
        <w:t xml:space="preserve">e iscritti ad un corso di laurea presso una </w:t>
      </w:r>
      <w:r w:rsidRPr="003C2133">
        <w:rPr>
          <w:rFonts w:ascii="Bookman Old Style" w:hAnsi="Bookman Old Style" w:cs="Arial"/>
          <w:bCs/>
          <w:sz w:val="22"/>
          <w:szCs w:val="22"/>
          <w:lang w:eastAsia="en-US"/>
        </w:rPr>
        <w:t xml:space="preserve">Università </w:t>
      </w:r>
      <w:r w:rsidRPr="003C2133">
        <w:rPr>
          <w:rFonts w:ascii="Bookman Old Style" w:hAnsi="Bookman Old Style" w:cs="Arial"/>
          <w:sz w:val="22"/>
          <w:szCs w:val="22"/>
          <w:lang w:eastAsia="en-US"/>
        </w:rPr>
        <w:t xml:space="preserve">situata in un Comune </w:t>
      </w:r>
      <w:r w:rsidRPr="003C2133">
        <w:rPr>
          <w:rFonts w:ascii="Bookman Old Style" w:hAnsi="Bookman Old Style" w:cs="Arial"/>
          <w:bCs/>
          <w:sz w:val="22"/>
          <w:szCs w:val="22"/>
          <w:lang w:eastAsia="en-US"/>
        </w:rPr>
        <w:t xml:space="preserve">distante almeno 50 km </w:t>
      </w:r>
      <w:r w:rsidRPr="003C2133">
        <w:rPr>
          <w:rFonts w:ascii="Bookman Old Style" w:hAnsi="Bookman Old Style" w:cs="Arial"/>
          <w:sz w:val="22"/>
          <w:szCs w:val="22"/>
          <w:lang w:eastAsia="en-US"/>
        </w:rPr>
        <w:t>da quello di residenza.</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In entrambi i casi, si prescinde dal fatto che residenza ed Università siano </w:t>
      </w:r>
      <w:r w:rsidRPr="003C2133">
        <w:rPr>
          <w:rFonts w:ascii="Bookman Old Style" w:hAnsi="Bookman Old Style" w:cs="Arial"/>
          <w:bCs/>
          <w:sz w:val="22"/>
          <w:szCs w:val="22"/>
          <w:lang w:eastAsia="en-US"/>
        </w:rPr>
        <w:t>nella stessa Provincia o in Province diverse</w:t>
      </w:r>
      <w:r w:rsidRPr="003C2133">
        <w:rPr>
          <w:rFonts w:ascii="Bookman Old Style" w:hAnsi="Bookman Old Style" w:cs="Arial"/>
          <w:sz w:val="22"/>
          <w:szCs w:val="22"/>
          <w:lang w:eastAsia="en-US"/>
        </w:rPr>
        <w:t>.</w:t>
      </w:r>
    </w:p>
    <w:p w:rsidR="006649DC" w:rsidRPr="003C2133" w:rsidRDefault="006649DC" w:rsidP="003C2133">
      <w:pPr>
        <w:autoSpaceDE w:val="0"/>
        <w:autoSpaceDN w:val="0"/>
        <w:adjustRightInd w:val="0"/>
        <w:jc w:val="both"/>
        <w:rPr>
          <w:rFonts w:ascii="Bookman Old Style" w:hAnsi="Bookman Old Style" w:cs="Arial"/>
          <w:bCs/>
          <w:sz w:val="22"/>
          <w:szCs w:val="22"/>
          <w:lang w:eastAsia="en-US"/>
        </w:rPr>
      </w:pPr>
    </w:p>
    <w:p w:rsidR="006649DC" w:rsidRPr="003C2133" w:rsidRDefault="006649DC" w:rsidP="003C2133">
      <w:pPr>
        <w:autoSpaceDE w:val="0"/>
        <w:autoSpaceDN w:val="0"/>
        <w:adjustRightInd w:val="0"/>
        <w:jc w:val="both"/>
        <w:rPr>
          <w:rFonts w:ascii="Bookman Old Style" w:hAnsi="Bookman Old Style" w:cs="Arial"/>
          <w:bCs/>
          <w:i/>
          <w:sz w:val="22"/>
          <w:szCs w:val="22"/>
          <w:lang w:eastAsia="en-US"/>
        </w:rPr>
      </w:pPr>
      <w:r>
        <w:rPr>
          <w:rFonts w:ascii="Bookman Old Style" w:hAnsi="Bookman Old Style" w:cs="Arial"/>
          <w:bCs/>
          <w:i/>
          <w:sz w:val="22"/>
          <w:szCs w:val="22"/>
          <w:lang w:eastAsia="en-US"/>
        </w:rPr>
        <w:t>B</w:t>
      </w:r>
      <w:r w:rsidRPr="003C2133">
        <w:rPr>
          <w:rFonts w:ascii="Bookman Old Style" w:hAnsi="Bookman Old Style" w:cs="Arial"/>
          <w:bCs/>
          <w:i/>
          <w:sz w:val="22"/>
          <w:szCs w:val="22"/>
          <w:lang w:eastAsia="en-US"/>
        </w:rPr>
        <w:t>onus strumenti musicali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Il co. 643, L. 205/2017 estende al</w:t>
      </w:r>
      <w:r w:rsidRPr="003C2133">
        <w:rPr>
          <w:rFonts w:ascii="Bookman Old Style" w:hAnsi="Bookman Old Style" w:cs="Arial"/>
          <w:bCs/>
          <w:sz w:val="22"/>
          <w:szCs w:val="22"/>
          <w:lang w:eastAsia="en-US"/>
        </w:rPr>
        <w:t xml:space="preserve"> 2018 </w:t>
      </w:r>
      <w:r w:rsidRPr="003C2133">
        <w:rPr>
          <w:rFonts w:ascii="Bookman Old Style" w:hAnsi="Bookman Old Style" w:cs="Arial"/>
          <w:sz w:val="22"/>
          <w:szCs w:val="22"/>
          <w:lang w:eastAsia="en-US"/>
        </w:rPr>
        <w:t xml:space="preserve">il contributo pari al 65% del prezzo per un massimo di 2.500 euro, per </w:t>
      </w:r>
      <w:r w:rsidRPr="003C2133">
        <w:rPr>
          <w:rFonts w:ascii="Bookman Old Style" w:hAnsi="Bookman Old Style" w:cs="Arial"/>
          <w:bCs/>
          <w:sz w:val="22"/>
          <w:szCs w:val="22"/>
          <w:lang w:eastAsia="en-US"/>
        </w:rPr>
        <w:t>l’acquisto di uno strumento musicale nuovo</w:t>
      </w:r>
      <w:r w:rsidRPr="003C2133">
        <w:rPr>
          <w:rFonts w:ascii="Bookman Old Style" w:hAnsi="Bookman Old Style" w:cs="Arial"/>
          <w:sz w:val="22"/>
          <w:szCs w:val="22"/>
          <w:lang w:eastAsia="en-US"/>
        </w:rPr>
        <w:t>, a favore degli studenti iscritti ai licei musicali e ai corsi pre-accademici, ai corsi del precedente ordinamento, ai corsi di diploma di I e II livello dei conservatori di musica, degli istituti superiori di studi musicali e delle istituzioni di formazione musicale e coreutica autorizzate a rilasciare titoli di alta formazione artistica, musicale e coreutica.</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3C2133" w:rsidRDefault="006649DC" w:rsidP="003C2133">
      <w:pPr>
        <w:autoSpaceDE w:val="0"/>
        <w:autoSpaceDN w:val="0"/>
        <w:adjustRightInd w:val="0"/>
        <w:jc w:val="both"/>
        <w:rPr>
          <w:rFonts w:ascii="Bookman Old Style" w:hAnsi="Bookman Old Style" w:cs="Arial"/>
          <w:bCs/>
          <w:i/>
          <w:sz w:val="22"/>
          <w:szCs w:val="22"/>
          <w:lang w:eastAsia="en-US"/>
        </w:rPr>
      </w:pPr>
      <w:r>
        <w:rPr>
          <w:rFonts w:ascii="Bookman Old Style" w:hAnsi="Bookman Old Style" w:cs="Arial"/>
          <w:bCs/>
          <w:i/>
          <w:sz w:val="22"/>
          <w:szCs w:val="22"/>
          <w:lang w:eastAsia="en-US"/>
        </w:rPr>
        <w:t>D</w:t>
      </w:r>
      <w:r w:rsidRPr="003C2133">
        <w:rPr>
          <w:rFonts w:ascii="Bookman Old Style" w:hAnsi="Bookman Old Style" w:cs="Arial"/>
          <w:bCs/>
          <w:i/>
          <w:sz w:val="22"/>
          <w:szCs w:val="22"/>
          <w:lang w:eastAsia="en-US"/>
        </w:rPr>
        <w:t>etrazione studenti con disturbo di apprendimento (dsa)</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I co. da 665 a 667, L. 207/2015 aggiungono la lett. e-ter) al co. 1 dell’art. 15, D.P.R. 917/1986, introducendo una  nuova </w:t>
      </w:r>
      <w:r w:rsidRPr="003C2133">
        <w:rPr>
          <w:rFonts w:ascii="Bookman Old Style" w:hAnsi="Bookman Old Style" w:cs="Arial"/>
          <w:bCs/>
          <w:sz w:val="22"/>
          <w:szCs w:val="22"/>
          <w:lang w:eastAsia="en-US"/>
        </w:rPr>
        <w:t xml:space="preserve">detrazione IRPEF pari al 19% </w:t>
      </w:r>
      <w:r w:rsidRPr="003C2133">
        <w:rPr>
          <w:rFonts w:ascii="Bookman Old Style" w:hAnsi="Bookman Old Style" w:cs="Arial"/>
          <w:sz w:val="22"/>
          <w:szCs w:val="22"/>
          <w:lang w:eastAsia="en-US"/>
        </w:rPr>
        <w:t xml:space="preserve">delle spese sostenute, </w:t>
      </w:r>
      <w:r w:rsidRPr="003C2133">
        <w:rPr>
          <w:rFonts w:ascii="Bookman Old Style" w:hAnsi="Bookman Old Style" w:cs="Arial"/>
          <w:bCs/>
          <w:sz w:val="22"/>
          <w:szCs w:val="22"/>
          <w:lang w:eastAsia="en-US"/>
        </w:rPr>
        <w:t>a decorrere dal 2018</w:t>
      </w:r>
      <w:r w:rsidRPr="003C2133">
        <w:rPr>
          <w:rFonts w:ascii="Bookman Old Style" w:hAnsi="Bookman Old Style" w:cs="Arial"/>
          <w:sz w:val="22"/>
          <w:szCs w:val="22"/>
          <w:lang w:eastAsia="en-US"/>
        </w:rPr>
        <w:t xml:space="preserve">, anche nell’interesse dei soggetti fiscalmente a carico, in favore di </w:t>
      </w:r>
      <w:r w:rsidRPr="003C2133">
        <w:rPr>
          <w:rFonts w:ascii="Bookman Old Style" w:hAnsi="Bookman Old Style" w:cs="Arial"/>
          <w:i/>
          <w:iCs/>
          <w:sz w:val="22"/>
          <w:szCs w:val="22"/>
          <w:lang w:eastAsia="en-US"/>
        </w:rPr>
        <w:t>“</w:t>
      </w:r>
      <w:r w:rsidRPr="003C2133">
        <w:rPr>
          <w:rFonts w:ascii="Bookman Old Style" w:hAnsi="Bookman Old Style" w:cs="Arial"/>
          <w:bCs/>
          <w:i/>
          <w:iCs/>
          <w:sz w:val="22"/>
          <w:szCs w:val="22"/>
          <w:lang w:eastAsia="en-US"/>
        </w:rPr>
        <w:t>minori o di maggiorenni</w:t>
      </w:r>
      <w:r w:rsidRPr="003C2133">
        <w:rPr>
          <w:rFonts w:ascii="Bookman Old Style" w:hAnsi="Bookman Old Style" w:cs="Arial"/>
          <w:i/>
          <w:iCs/>
          <w:sz w:val="22"/>
          <w:szCs w:val="22"/>
          <w:lang w:eastAsia="en-US"/>
        </w:rPr>
        <w:t xml:space="preserve">, </w:t>
      </w:r>
      <w:r w:rsidRPr="003C2133">
        <w:rPr>
          <w:rFonts w:ascii="Bookman Old Style" w:hAnsi="Bookman Old Style" w:cs="Arial"/>
          <w:bCs/>
          <w:i/>
          <w:iCs/>
          <w:sz w:val="22"/>
          <w:szCs w:val="22"/>
          <w:lang w:eastAsia="en-US"/>
        </w:rPr>
        <w:t xml:space="preserve">con diagnosi di disturbo specifico dell’apprendimento (DSA) </w:t>
      </w:r>
      <w:r w:rsidRPr="003C2133">
        <w:rPr>
          <w:rFonts w:ascii="Bookman Old Style" w:hAnsi="Bookman Old Style" w:cs="Arial"/>
          <w:i/>
          <w:iCs/>
          <w:sz w:val="22"/>
          <w:szCs w:val="22"/>
          <w:lang w:eastAsia="en-US"/>
        </w:rPr>
        <w:t>fino al completamento della scuola secondaria di secondo grado, per l’acquisto di strumenti compensativi e di sussidi tecnici e informatici, di cui alla legge 8 ottobre 2010, n. 170, necessari all’apprendimento, nonché per l’uso di strumenti compensativi che favoriscano la comunicazione verbale e che assicurino ritmi graduali di apprendimento delle lingue straniere, in presenza di un certificato medico che attesti il collegamento funzionale tra i sussidi e gli strumenti acquistati e il tipo di disturbo dell’apprendimento diagnosticato”.</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Con Provvedimento dell’Agenzia delle Entrate saranno definite le modalità attuative della</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disposizione in commento.</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563908" w:rsidRDefault="006649DC" w:rsidP="003C2133">
      <w:pPr>
        <w:autoSpaceDE w:val="0"/>
        <w:autoSpaceDN w:val="0"/>
        <w:adjustRightInd w:val="0"/>
        <w:jc w:val="both"/>
        <w:rPr>
          <w:rFonts w:ascii="Bookman Old Style" w:hAnsi="Bookman Old Style" w:cs="Arial"/>
          <w:bCs/>
          <w:i/>
          <w:sz w:val="22"/>
          <w:szCs w:val="22"/>
          <w:lang w:eastAsia="en-US"/>
        </w:rPr>
      </w:pPr>
      <w:r>
        <w:rPr>
          <w:rFonts w:ascii="Bookman Old Style" w:hAnsi="Bookman Old Style" w:cs="Arial"/>
          <w:bCs/>
          <w:i/>
          <w:sz w:val="22"/>
          <w:szCs w:val="22"/>
          <w:lang w:eastAsia="en-US"/>
        </w:rPr>
        <w:t>D</w:t>
      </w:r>
      <w:r w:rsidRPr="00563908">
        <w:rPr>
          <w:rFonts w:ascii="Bookman Old Style" w:hAnsi="Bookman Old Style" w:cs="Arial"/>
          <w:bCs/>
          <w:i/>
          <w:sz w:val="22"/>
          <w:szCs w:val="22"/>
          <w:lang w:eastAsia="en-US"/>
        </w:rPr>
        <w:t>etrazione polizze assicurative calamità naturali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I co. da 768 a 770 introducono la </w:t>
      </w:r>
      <w:r w:rsidRPr="003C2133">
        <w:rPr>
          <w:rFonts w:ascii="Bookman Old Style" w:hAnsi="Bookman Old Style" w:cs="Arial"/>
          <w:bCs/>
          <w:sz w:val="22"/>
          <w:szCs w:val="22"/>
          <w:lang w:eastAsia="en-US"/>
        </w:rPr>
        <w:t xml:space="preserve">nuova lett. f-bis) </w:t>
      </w:r>
      <w:r w:rsidRPr="003C2133">
        <w:rPr>
          <w:rFonts w:ascii="Bookman Old Style" w:hAnsi="Bookman Old Style" w:cs="Arial"/>
          <w:sz w:val="22"/>
          <w:szCs w:val="22"/>
          <w:lang w:eastAsia="en-US"/>
        </w:rPr>
        <w:t>al co. 1 dell’art. 15, D.P.R. 917/1986.</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Viene così riconosciuta la </w:t>
      </w:r>
      <w:r w:rsidRPr="003C2133">
        <w:rPr>
          <w:rFonts w:ascii="Bookman Old Style" w:hAnsi="Bookman Old Style" w:cs="Arial"/>
          <w:bCs/>
          <w:sz w:val="22"/>
          <w:szCs w:val="22"/>
          <w:lang w:eastAsia="en-US"/>
        </w:rPr>
        <w:t xml:space="preserve">detrazione IRPEF pari al 19% dei premi per le assicurazioni </w:t>
      </w:r>
      <w:r w:rsidRPr="003C2133">
        <w:rPr>
          <w:rFonts w:ascii="Bookman Old Style" w:hAnsi="Bookman Old Style" w:cs="Arial"/>
          <w:sz w:val="22"/>
          <w:szCs w:val="22"/>
          <w:lang w:eastAsia="en-US"/>
        </w:rPr>
        <w:t xml:space="preserve">aventi ad oggetto il </w:t>
      </w:r>
      <w:r w:rsidRPr="003C2133">
        <w:rPr>
          <w:rFonts w:ascii="Bookman Old Style" w:hAnsi="Bookman Old Style" w:cs="Arial"/>
          <w:bCs/>
          <w:sz w:val="22"/>
          <w:szCs w:val="22"/>
          <w:lang w:eastAsia="en-US"/>
        </w:rPr>
        <w:t xml:space="preserve">rischio di eventi calamitosi </w:t>
      </w:r>
      <w:r w:rsidRPr="003C2133">
        <w:rPr>
          <w:rFonts w:ascii="Bookman Old Style" w:hAnsi="Bookman Old Style" w:cs="Arial"/>
          <w:sz w:val="22"/>
          <w:szCs w:val="22"/>
          <w:lang w:eastAsia="en-US"/>
        </w:rPr>
        <w:t>stipulate relativamente alle unità immobiliari ad uso abitativo.</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La disposizione è applicabile alle </w:t>
      </w:r>
      <w:r w:rsidRPr="003C2133">
        <w:rPr>
          <w:rFonts w:ascii="Bookman Old Style" w:hAnsi="Bookman Old Style" w:cs="Arial"/>
          <w:bCs/>
          <w:sz w:val="22"/>
          <w:szCs w:val="22"/>
          <w:lang w:eastAsia="en-US"/>
        </w:rPr>
        <w:t>polizze stipulate dall’1.1.2018</w:t>
      </w:r>
      <w:r w:rsidRPr="003C2133">
        <w:rPr>
          <w:rFonts w:ascii="Bookman Old Style" w:hAnsi="Bookman Old Style" w:cs="Arial"/>
          <w:sz w:val="22"/>
          <w:szCs w:val="22"/>
          <w:lang w:eastAsia="en-US"/>
        </w:rPr>
        <w:t>.</w:t>
      </w:r>
    </w:p>
    <w:p w:rsidR="006649DC" w:rsidRPr="00563908" w:rsidRDefault="006649DC" w:rsidP="003C2133">
      <w:pPr>
        <w:autoSpaceDE w:val="0"/>
        <w:autoSpaceDN w:val="0"/>
        <w:adjustRightInd w:val="0"/>
        <w:jc w:val="both"/>
        <w:rPr>
          <w:rFonts w:ascii="Bookman Old Style" w:hAnsi="Bookman Old Style" w:cs="Arial"/>
          <w:bCs/>
          <w:i/>
          <w:sz w:val="22"/>
          <w:szCs w:val="22"/>
          <w:lang w:eastAsia="en-US"/>
        </w:rPr>
      </w:pPr>
    </w:p>
    <w:p w:rsidR="006649DC" w:rsidRPr="00563908" w:rsidRDefault="006649DC" w:rsidP="003C2133">
      <w:pPr>
        <w:autoSpaceDE w:val="0"/>
        <w:autoSpaceDN w:val="0"/>
        <w:adjustRightInd w:val="0"/>
        <w:jc w:val="both"/>
        <w:rPr>
          <w:rFonts w:ascii="Bookman Old Style" w:hAnsi="Bookman Old Style" w:cs="Arial"/>
          <w:bCs/>
          <w:i/>
          <w:sz w:val="22"/>
          <w:szCs w:val="22"/>
          <w:lang w:eastAsia="en-US"/>
        </w:rPr>
      </w:pPr>
      <w:r w:rsidRPr="00563908">
        <w:rPr>
          <w:rFonts w:ascii="Bookman Old Style" w:hAnsi="Bookman Old Style" w:cs="Arial"/>
          <w:bCs/>
          <w:i/>
          <w:sz w:val="22"/>
          <w:szCs w:val="22"/>
          <w:lang w:eastAsia="en-US"/>
        </w:rPr>
        <w:t>Abbonamenti trasporto pubblico</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Il co. 28, L. 205/2017 introduce la </w:t>
      </w:r>
      <w:r w:rsidRPr="003C2133">
        <w:rPr>
          <w:rFonts w:ascii="Bookman Old Style" w:hAnsi="Bookman Old Style" w:cs="Arial"/>
          <w:bCs/>
          <w:sz w:val="22"/>
          <w:szCs w:val="22"/>
          <w:lang w:eastAsia="en-US"/>
        </w:rPr>
        <w:t xml:space="preserve">nuova lett. i-decies) </w:t>
      </w:r>
      <w:r w:rsidRPr="003C2133">
        <w:rPr>
          <w:rFonts w:ascii="Bookman Old Style" w:hAnsi="Bookman Old Style" w:cs="Arial"/>
          <w:sz w:val="22"/>
          <w:szCs w:val="22"/>
          <w:lang w:eastAsia="en-US"/>
        </w:rPr>
        <w:t>al co. 1 dell’art. 15, D.P.R. 917/1986 al fine di consentire la detrazione IRPEF per le spese relative all’abbonamento  al trasporto pubblico.</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Viene altresì modificato l’art. 51, D.P.R. 917/1986 per inserire detti servizi tra quelli che possono essere inseriti in un piano di </w:t>
      </w:r>
      <w:r w:rsidRPr="003C2133">
        <w:rPr>
          <w:rFonts w:ascii="Bookman Old Style" w:hAnsi="Bookman Old Style" w:cs="Arial"/>
          <w:i/>
          <w:sz w:val="22"/>
          <w:szCs w:val="22"/>
          <w:lang w:eastAsia="en-US"/>
        </w:rPr>
        <w:t>welfare</w:t>
      </w:r>
      <w:r w:rsidRPr="003C2133">
        <w:rPr>
          <w:rFonts w:ascii="Bookman Old Style" w:hAnsi="Bookman Old Style" w:cs="Arial"/>
          <w:sz w:val="22"/>
          <w:szCs w:val="22"/>
          <w:lang w:eastAsia="en-US"/>
        </w:rPr>
        <w:t xml:space="preserve"> aziendale.</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Detrazione IRPEF</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Viene così riconosciuta la detrazione IRPEF pari al 19% delle spese sostenute, anche nell’interesse dei soggetti a carico, per l’acquisto di </w:t>
      </w:r>
      <w:r w:rsidRPr="003C2133">
        <w:rPr>
          <w:rFonts w:ascii="Bookman Old Style" w:hAnsi="Bookman Old Style" w:cs="Arial"/>
          <w:bCs/>
          <w:sz w:val="22"/>
          <w:szCs w:val="22"/>
          <w:lang w:eastAsia="en-US"/>
        </w:rPr>
        <w:t>abbonamenti ai servizi di trasporto pubblico locale e regionale e interregionale per un importo non superiore a</w:t>
      </w:r>
      <w:r w:rsidRPr="003C2133">
        <w:rPr>
          <w:rFonts w:ascii="Bookman Old Style" w:hAnsi="Bookman Old Style" w:cs="Arial,Bold"/>
          <w:bCs/>
          <w:sz w:val="22"/>
          <w:szCs w:val="22"/>
          <w:lang w:eastAsia="en-US"/>
        </w:rPr>
        <w:t xml:space="preserve"> </w:t>
      </w:r>
      <w:r w:rsidRPr="003C2133">
        <w:rPr>
          <w:rFonts w:ascii="Bookman Old Style" w:hAnsi="Bookman Old Style" w:cs="Arial"/>
          <w:bCs/>
          <w:sz w:val="22"/>
          <w:szCs w:val="22"/>
          <w:lang w:eastAsia="en-US"/>
        </w:rPr>
        <w:t>250 euro</w:t>
      </w:r>
      <w:r w:rsidRPr="003C2133">
        <w:rPr>
          <w:rFonts w:ascii="Bookman Old Style" w:hAnsi="Bookman Old Style" w:cs="Arial"/>
          <w:sz w:val="22"/>
          <w:szCs w:val="22"/>
          <w:lang w:eastAsia="en-US"/>
        </w:rPr>
        <w:t>.</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i/>
          <w:sz w:val="22"/>
          <w:szCs w:val="22"/>
          <w:lang w:eastAsia="en-US"/>
        </w:rPr>
        <w:t>Welfare</w:t>
      </w:r>
      <w:r w:rsidRPr="003C2133">
        <w:rPr>
          <w:rFonts w:ascii="Bookman Old Style" w:hAnsi="Bookman Old Style" w:cs="Arial"/>
          <w:sz w:val="22"/>
          <w:szCs w:val="22"/>
          <w:lang w:eastAsia="en-US"/>
        </w:rPr>
        <w:t xml:space="preserve"> aziendale</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Inoltre, con l’aggiunta della </w:t>
      </w:r>
      <w:r w:rsidRPr="003C2133">
        <w:rPr>
          <w:rFonts w:ascii="Bookman Old Style" w:hAnsi="Bookman Old Style" w:cs="Arial"/>
          <w:bCs/>
          <w:sz w:val="22"/>
          <w:szCs w:val="22"/>
          <w:lang w:eastAsia="en-US"/>
        </w:rPr>
        <w:t xml:space="preserve">nuova lett. d-bis) </w:t>
      </w:r>
      <w:r w:rsidRPr="003C2133">
        <w:rPr>
          <w:rFonts w:ascii="Bookman Old Style" w:hAnsi="Bookman Old Style" w:cs="Arial"/>
          <w:sz w:val="22"/>
          <w:szCs w:val="22"/>
          <w:lang w:eastAsia="en-US"/>
        </w:rPr>
        <w:t xml:space="preserve">al co. 2 dell’art. 51, D.P.R. 917/1986 è previsto che </w:t>
      </w:r>
      <w:r w:rsidRPr="003C2133">
        <w:rPr>
          <w:rFonts w:ascii="Bookman Old Style" w:hAnsi="Bookman Old Style" w:cs="Arial"/>
          <w:bCs/>
          <w:sz w:val="22"/>
          <w:szCs w:val="22"/>
          <w:lang w:eastAsia="en-US"/>
        </w:rPr>
        <w:t xml:space="preserve">non concorrono a formare il reddito di lavoro dipendente </w:t>
      </w:r>
      <w:r w:rsidRPr="003C2133">
        <w:rPr>
          <w:rFonts w:ascii="Bookman Old Style" w:hAnsi="Bookman Old Style" w:cs="Arial"/>
          <w:i/>
          <w:iCs/>
          <w:sz w:val="22"/>
          <w:szCs w:val="22"/>
          <w:lang w:eastAsia="en-US"/>
        </w:rPr>
        <w:t xml:space="preserve">“le somme erogate o rimborsate alla generalità o a categorie di dipendenti dal datore di lavoro o le spese da quest’ultimo direttamente sostenute, volontariamente o in conformità a disposizioni di contratto, di accordo o di regolamento aziendale, per l’acquisto degli </w:t>
      </w:r>
      <w:r w:rsidRPr="003C2133">
        <w:rPr>
          <w:rFonts w:ascii="Bookman Old Style" w:hAnsi="Bookman Old Style" w:cs="Arial"/>
          <w:bCs/>
          <w:i/>
          <w:iCs/>
          <w:sz w:val="22"/>
          <w:szCs w:val="22"/>
          <w:lang w:eastAsia="en-US"/>
        </w:rPr>
        <w:t>abbonamenti per il trasporto pubblico locale</w:t>
      </w:r>
      <w:r w:rsidRPr="003C2133">
        <w:rPr>
          <w:rFonts w:ascii="Bookman Old Style" w:hAnsi="Bookman Old Style" w:cs="Arial"/>
          <w:i/>
          <w:iCs/>
          <w:sz w:val="22"/>
          <w:szCs w:val="22"/>
          <w:lang w:eastAsia="en-US"/>
        </w:rPr>
        <w:t xml:space="preserve">, </w:t>
      </w:r>
      <w:r w:rsidRPr="003C2133">
        <w:rPr>
          <w:rFonts w:ascii="Bookman Old Style" w:hAnsi="Bookman Old Style" w:cs="Arial"/>
          <w:bCs/>
          <w:i/>
          <w:iCs/>
          <w:sz w:val="22"/>
          <w:szCs w:val="22"/>
          <w:lang w:eastAsia="en-US"/>
        </w:rPr>
        <w:t>regionale e interregionale del dipendente e dei familiari</w:t>
      </w:r>
      <w:r w:rsidRPr="003C2133">
        <w:rPr>
          <w:rFonts w:ascii="Bookman Old Style" w:hAnsi="Bookman Old Style" w:cs="Arial"/>
          <w:bCs/>
          <w:iCs/>
          <w:sz w:val="22"/>
          <w:szCs w:val="22"/>
          <w:lang w:eastAsia="en-US"/>
        </w:rPr>
        <w:t>” (questi ultimi devono risultare fiscalmente a</w:t>
      </w:r>
      <w:r w:rsidRPr="003C2133">
        <w:rPr>
          <w:rFonts w:ascii="Bookman Old Style" w:hAnsi="Bookman Old Style" w:cs="Arial"/>
          <w:sz w:val="22"/>
          <w:szCs w:val="22"/>
          <w:lang w:eastAsia="en-US"/>
        </w:rPr>
        <w:t xml:space="preserve"> carico).</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La novità dovrebbe dare ulteriore impulso all’utilizzo di piano di </w:t>
      </w:r>
      <w:r w:rsidRPr="003C2133">
        <w:rPr>
          <w:rFonts w:ascii="Bookman Old Style" w:hAnsi="Bookman Old Style" w:cs="Arial"/>
          <w:i/>
          <w:sz w:val="22"/>
          <w:szCs w:val="22"/>
          <w:lang w:eastAsia="en-US"/>
        </w:rPr>
        <w:t>welfare</w:t>
      </w:r>
      <w:r w:rsidRPr="003C2133">
        <w:rPr>
          <w:rFonts w:ascii="Bookman Old Style" w:hAnsi="Bookman Old Style" w:cs="Arial"/>
          <w:sz w:val="22"/>
          <w:szCs w:val="22"/>
          <w:lang w:eastAsia="en-US"/>
        </w:rPr>
        <w:t xml:space="preserve"> aziendale, in quanto esenta da imposizione fiscale le somme finalizzate all’acquisto di abbonamenti da parte dei lavoratori (e dei propri familiari a carico) ovvero la messa a disposizione diretta degli stessi ad opera del datore di lavoro.</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La lett. d-bis), co. 2 dell’art. 51, TUIR si aggiunge alla precedente lett. d): quest’ultima già  </w:t>
      </w:r>
    </w:p>
    <w:p w:rsidR="006649DC" w:rsidRPr="003C2133" w:rsidRDefault="006649DC" w:rsidP="003C2133">
      <w:pPr>
        <w:spacing w:line="270" w:lineRule="atLeast"/>
        <w:jc w:val="both"/>
        <w:rPr>
          <w:rFonts w:ascii="Bookman Old Style" w:hAnsi="Bookman Old Style" w:cs="Arial"/>
          <w:sz w:val="22"/>
          <w:szCs w:val="22"/>
          <w:lang w:eastAsia="en-US"/>
        </w:rPr>
      </w:pPr>
      <w:r w:rsidRPr="003C2133">
        <w:rPr>
          <w:rFonts w:ascii="Bookman Old Style" w:hAnsi="Bookman Old Style" w:cs="Arial"/>
          <w:sz w:val="22"/>
          <w:szCs w:val="22"/>
          <w:lang w:eastAsia="en-US"/>
        </w:rPr>
        <w:t>prevede l’esenzione fiscale per “</w:t>
      </w:r>
      <w:r w:rsidRPr="003C2133">
        <w:rPr>
          <w:rFonts w:ascii="Bookman Old Style" w:hAnsi="Bookman Old Style" w:cs="Arial"/>
          <w:i/>
          <w:sz w:val="22"/>
          <w:szCs w:val="22"/>
          <w:lang w:eastAsia="en-US"/>
        </w:rPr>
        <w:t>le prestazioni di servizi di trasporto collettivo alla generalità o a categorie di dipendenti; anche se affidate a terzi ivi compresi gli esercenti servizi pubblici</w:t>
      </w:r>
      <w:r w:rsidRPr="003C2133">
        <w:rPr>
          <w:rFonts w:ascii="Bookman Old Style" w:hAnsi="Bookman Old Style" w:cs="Arial"/>
          <w:sz w:val="22"/>
          <w:szCs w:val="22"/>
          <w:lang w:eastAsia="en-US"/>
        </w:rPr>
        <w:t xml:space="preserve">”. La norma, specie con riguarda all’affidamento del servizio pubblico, ha avuto scarso </w:t>
      </w:r>
      <w:r w:rsidRPr="003C2133">
        <w:rPr>
          <w:rFonts w:ascii="Bookman Old Style" w:hAnsi="Bookman Old Style" w:cs="Arial"/>
          <w:i/>
          <w:sz w:val="22"/>
          <w:szCs w:val="22"/>
          <w:lang w:eastAsia="en-US"/>
        </w:rPr>
        <w:t>appeal</w:t>
      </w:r>
      <w:r w:rsidRPr="003C2133">
        <w:rPr>
          <w:rFonts w:ascii="Bookman Old Style" w:hAnsi="Bookman Old Style" w:cs="Arial"/>
          <w:sz w:val="22"/>
          <w:szCs w:val="22"/>
          <w:lang w:eastAsia="en-US"/>
        </w:rPr>
        <w:t xml:space="preserve"> in passato, anche a causa di un’interpretazione restrittiva dell’Amministrazione finanziaria la quale, con la R.M. n. 126/E/2007 aveva escluso la possibilità di fruire della detassazione nel caso di concessione al lavoratore di un </w:t>
      </w:r>
      <w:r w:rsidRPr="003C2133">
        <w:rPr>
          <w:rFonts w:ascii="Bookman Old Style" w:hAnsi="Bookman Old Style" w:cs="Arial"/>
          <w:i/>
          <w:sz w:val="22"/>
          <w:szCs w:val="22"/>
          <w:lang w:eastAsia="en-US"/>
        </w:rPr>
        <w:t>ticket</w:t>
      </w:r>
      <w:r w:rsidRPr="003C2133">
        <w:rPr>
          <w:rFonts w:ascii="Bookman Old Style" w:hAnsi="Bookman Old Style" w:cs="Arial"/>
          <w:sz w:val="22"/>
          <w:szCs w:val="22"/>
          <w:lang w:eastAsia="en-US"/>
        </w:rPr>
        <w:t xml:space="preserve"> trasporto che consentiva l’acquisto dell’abbonamento ordinario alla rete del trasporto pubblico locale mediante pagamento di un corrispettivo pari alla differenza tra il prezzo dell’abbonamento e il valore facciale del buono attribuito. Ciò a causa del “timore” che il dipendente potesse utilizzare il titolo di viaggio anche per motivi personali. </w:t>
      </w:r>
    </w:p>
    <w:p w:rsidR="006649DC" w:rsidRPr="003C2133" w:rsidRDefault="006649DC" w:rsidP="003C2133">
      <w:pPr>
        <w:spacing w:line="270" w:lineRule="atLeast"/>
        <w:jc w:val="both"/>
        <w:rPr>
          <w:rFonts w:ascii="Bookman Old Style" w:hAnsi="Bookman Old Style" w:cs="Arial"/>
          <w:sz w:val="22"/>
          <w:szCs w:val="22"/>
          <w:lang w:eastAsia="en-US"/>
        </w:rPr>
      </w:pPr>
    </w:p>
    <w:p w:rsidR="006649DC" w:rsidRPr="003C2133" w:rsidRDefault="006649DC" w:rsidP="003C2133">
      <w:pPr>
        <w:spacing w:line="270" w:lineRule="atLeast"/>
        <w:jc w:val="both"/>
        <w:rPr>
          <w:rFonts w:ascii="Bookman Old Style" w:hAnsi="Bookman Old Style" w:cs="Arial"/>
          <w:sz w:val="22"/>
          <w:szCs w:val="22"/>
          <w:lang w:eastAsia="en-US"/>
        </w:rPr>
      </w:pPr>
      <w:r w:rsidRPr="003C2133">
        <w:rPr>
          <w:rFonts w:ascii="Bookman Old Style" w:hAnsi="Bookman Old Style" w:cs="Arial"/>
          <w:sz w:val="22"/>
          <w:szCs w:val="22"/>
          <w:lang w:eastAsia="en-US"/>
        </w:rPr>
        <w:t>La neo introdotta lett. d-bis) consente il rimborso dell’abbonamento al trasporto pubblico non solo per il tragitto casa-lavoro del dipendente, ma, più in generale, è volta ad incentivare l’utilizzo dei pubblici trasporti al fine di ridurre il traffico con benefici di carattere ambientale, con particolare riferimento alle grandi aree urbane (così si legge nella relazione illustrativa). Ciò è confermato anche dalla circostanza che possono accedere al beneficio non solo gli abbonamenti al lavoratore, ma anche a quelli dei familiari che possano essere considerati a carico.</w:t>
      </w:r>
    </w:p>
    <w:p w:rsidR="006649DC" w:rsidRPr="003C2133" w:rsidRDefault="006649DC" w:rsidP="003C2133">
      <w:pPr>
        <w:spacing w:line="270" w:lineRule="atLeast"/>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Quanto all’ambito oggettivo, viene fatto esclusivo riferimento agli “abbonamenti”; pertanto, sono da escludersi agevolazioni in caso di acquisto/messa a disposizione di singoli titoli di viaggio. </w:t>
      </w:r>
    </w:p>
    <w:p w:rsidR="006649DC" w:rsidRPr="003C2133" w:rsidRDefault="006649DC" w:rsidP="003C2133">
      <w:pPr>
        <w:spacing w:line="270" w:lineRule="atLeast"/>
        <w:jc w:val="both"/>
        <w:rPr>
          <w:rFonts w:ascii="Bookman Old Style" w:hAnsi="Bookman Old Style" w:cs="Arial"/>
          <w:sz w:val="22"/>
          <w:szCs w:val="22"/>
          <w:lang w:eastAsia="en-US"/>
        </w:rPr>
      </w:pPr>
    </w:p>
    <w:p w:rsidR="006649DC" w:rsidRPr="003C2133" w:rsidRDefault="006649DC" w:rsidP="003C2133">
      <w:pPr>
        <w:spacing w:line="270" w:lineRule="atLeast"/>
        <w:jc w:val="both"/>
        <w:rPr>
          <w:rFonts w:ascii="Bookman Old Style" w:hAnsi="Bookman Old Style" w:cs="Arial"/>
          <w:sz w:val="22"/>
          <w:szCs w:val="22"/>
          <w:lang w:eastAsia="en-US"/>
        </w:rPr>
      </w:pPr>
      <w:r w:rsidRPr="003C2133">
        <w:rPr>
          <w:rFonts w:ascii="Bookman Old Style" w:hAnsi="Bookman Old Style" w:cs="Arial"/>
          <w:sz w:val="22"/>
          <w:szCs w:val="22"/>
          <w:lang w:eastAsia="en-US"/>
        </w:rPr>
        <w:t>Le modalità di concessione del beneficio sono, poi, estremamente ampie in quanto è possibile sia rimborsare l’abbonamento acquistato dal lavoratore sia erogare delle somme; in quest’ultimo caso, si ritiene (così afferma la C.M. 28/E/2016 in relazione ai rimborsi di benefit di altra natura) che il datore di lavoro debba sempre acquisire dal lavoratore prova documentale dell’effettiva destinazione dell’erogazione monetaria per le finalità innanzi menzionate.</w:t>
      </w:r>
    </w:p>
    <w:p w:rsidR="006649DC" w:rsidRPr="003C2133" w:rsidRDefault="006649DC" w:rsidP="003C2133">
      <w:pPr>
        <w:spacing w:line="270" w:lineRule="atLeast"/>
        <w:jc w:val="both"/>
        <w:rPr>
          <w:rFonts w:ascii="Bookman Old Style" w:hAnsi="Bookman Old Style" w:cs="Arial"/>
          <w:sz w:val="22"/>
          <w:szCs w:val="22"/>
          <w:lang w:eastAsia="en-US"/>
        </w:rPr>
      </w:pPr>
      <w:r w:rsidRPr="003C2133">
        <w:rPr>
          <w:rFonts w:ascii="Bookman Old Style" w:hAnsi="Bookman Old Style" w:cs="Arial"/>
          <w:sz w:val="22"/>
          <w:szCs w:val="22"/>
          <w:lang w:eastAsia="en-US"/>
        </w:rPr>
        <w:t>Inoltre, il datore di lavoro può direttamente mettere a disposizione l’abbonamento sostenendo le relative spese volontariamente e/o in conformità a disposizioni di contratto, di accordo o di regolamento aziendale.</w:t>
      </w:r>
    </w:p>
    <w:p w:rsidR="006649DC" w:rsidRPr="00563908" w:rsidRDefault="006649DC" w:rsidP="003C2133">
      <w:pPr>
        <w:spacing w:line="270" w:lineRule="atLeast"/>
        <w:jc w:val="both"/>
        <w:rPr>
          <w:rFonts w:ascii="Bookman Old Style" w:hAnsi="Bookman Old Style" w:cs="Arial"/>
          <w:i/>
          <w:sz w:val="22"/>
          <w:szCs w:val="22"/>
          <w:lang w:eastAsia="en-US"/>
        </w:rPr>
      </w:pPr>
    </w:p>
    <w:p w:rsidR="006649DC" w:rsidRPr="00563908" w:rsidRDefault="006649DC" w:rsidP="003C2133">
      <w:pPr>
        <w:autoSpaceDE w:val="0"/>
        <w:autoSpaceDN w:val="0"/>
        <w:adjustRightInd w:val="0"/>
        <w:jc w:val="both"/>
        <w:rPr>
          <w:rFonts w:ascii="Bookman Old Style" w:hAnsi="Bookman Old Style" w:cs="Arial"/>
          <w:bCs/>
          <w:i/>
          <w:sz w:val="22"/>
          <w:szCs w:val="22"/>
          <w:lang w:eastAsia="en-US"/>
        </w:rPr>
      </w:pPr>
      <w:r w:rsidRPr="00563908">
        <w:rPr>
          <w:rFonts w:ascii="Bookman Old Style" w:hAnsi="Bookman Old Style" w:cs="Arial"/>
          <w:bCs/>
          <w:i/>
          <w:sz w:val="22"/>
          <w:szCs w:val="22"/>
          <w:lang w:eastAsia="en-US"/>
        </w:rPr>
        <w:t>Bonus bebè</w:t>
      </w:r>
    </w:p>
    <w:p w:rsidR="006649DC" w:rsidRPr="003C2133" w:rsidRDefault="006649DC" w:rsidP="003C2133">
      <w:pPr>
        <w:autoSpaceDE w:val="0"/>
        <w:autoSpaceDN w:val="0"/>
        <w:adjustRightInd w:val="0"/>
        <w:jc w:val="both"/>
        <w:rPr>
          <w:rFonts w:ascii="Bookman Old Style" w:hAnsi="Bookman Old Style" w:cs="Arial"/>
          <w:bCs/>
          <w:sz w:val="22"/>
          <w:szCs w:val="22"/>
          <w:lang w:eastAsia="en-US"/>
        </w:rPr>
      </w:pPr>
      <w:r w:rsidRPr="003C2133">
        <w:rPr>
          <w:rFonts w:ascii="Bookman Old Style" w:hAnsi="Bookman Old Style" w:cs="Arial"/>
          <w:sz w:val="22"/>
          <w:szCs w:val="22"/>
          <w:lang w:eastAsia="en-US"/>
        </w:rPr>
        <w:t xml:space="preserve">Il co. 248, L. 205/2017 ha previsto il riconoscimento dell’assegno – erogato dall’INPS - di cui all’art. 1, co. 125, L. 23.12.2014, n. 190 (Legge finanziaria 2015), estendendone la spettanza anche </w:t>
      </w:r>
      <w:r w:rsidRPr="003C2133">
        <w:rPr>
          <w:rFonts w:ascii="Bookman Old Style" w:hAnsi="Bookman Old Style" w:cs="Arial"/>
          <w:bCs/>
          <w:sz w:val="22"/>
          <w:szCs w:val="22"/>
          <w:lang w:eastAsia="en-US"/>
        </w:rPr>
        <w:t>per ogni figlio nato o adottato dall’1.1 al 31.12.2018. Il beneficio economico spetta fino al compimento del primo anno d’età o del primo anno d’ingresso nel nucleo familiare a seguito dell’adozione.</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Il bonus in esame, pari a 960 euro annui erogato mensilmente dall’INPS, spetta a condizione che il nucleo familiare di appartenenza del genitore richiedente sia in condizione economica corrispondente a un valore dell’Indicatore della situazione economica equivalente (ISEE) </w:t>
      </w:r>
      <w:r w:rsidRPr="003C2133">
        <w:rPr>
          <w:rFonts w:ascii="Bookman Old Style" w:hAnsi="Bookman Old Style" w:cs="Arial"/>
          <w:bCs/>
          <w:sz w:val="22"/>
          <w:szCs w:val="22"/>
          <w:lang w:eastAsia="en-US"/>
        </w:rPr>
        <w:t>non superiore a 25.000 euro annui</w:t>
      </w:r>
      <w:r w:rsidRPr="003C2133">
        <w:rPr>
          <w:rFonts w:ascii="Bookman Old Style" w:hAnsi="Bookman Old Style" w:cs="Arial"/>
          <w:sz w:val="22"/>
          <w:szCs w:val="22"/>
          <w:lang w:eastAsia="en-US"/>
        </w:rPr>
        <w:t>.</w:t>
      </w:r>
    </w:p>
    <w:p w:rsidR="006649DC" w:rsidRPr="003C2133" w:rsidRDefault="006649DC" w:rsidP="00347EDC">
      <w:pPr>
        <w:rPr>
          <w:rFonts w:ascii="Bookman Old Style" w:hAnsi="Bookman Old Style"/>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Default="006649DC" w:rsidP="00563908">
      <w:pPr>
        <w:autoSpaceDE w:val="0"/>
        <w:autoSpaceDN w:val="0"/>
        <w:adjustRightInd w:val="0"/>
        <w:rPr>
          <w:rFonts w:ascii="Bookman Old Style" w:hAnsi="Bookman Old Style" w:cs="Arial"/>
          <w:bCs/>
          <w:sz w:val="22"/>
          <w:szCs w:val="22"/>
          <w:lang w:eastAsia="en-US"/>
        </w:rPr>
      </w:pPr>
    </w:p>
    <w:p w:rsidR="006649DC" w:rsidRPr="00563908" w:rsidRDefault="006649DC" w:rsidP="00563908">
      <w:pPr>
        <w:pStyle w:val="Heading1"/>
        <w:rPr>
          <w:rFonts w:ascii="Bookman Old Style" w:hAnsi="Bookman Old Style"/>
          <w:b w:val="0"/>
          <w:u w:val="single"/>
          <w:lang w:eastAsia="en-US"/>
        </w:rPr>
      </w:pPr>
      <w:bookmarkStart w:id="183" w:name="_Toc506559973"/>
      <w:r w:rsidRPr="00563908">
        <w:rPr>
          <w:rFonts w:ascii="Bookman Old Style" w:hAnsi="Bookman Old Style"/>
          <w:b w:val="0"/>
          <w:u w:val="single"/>
          <w:lang w:eastAsia="en-US"/>
        </w:rPr>
        <w:t>Iva: aliquote</w:t>
      </w:r>
      <w:bookmarkEnd w:id="183"/>
    </w:p>
    <w:p w:rsidR="006649DC" w:rsidRPr="003C2133" w:rsidRDefault="006649DC" w:rsidP="003C2133">
      <w:pPr>
        <w:autoSpaceDE w:val="0"/>
        <w:autoSpaceDN w:val="0"/>
        <w:adjustRightInd w:val="0"/>
        <w:jc w:val="both"/>
        <w:rPr>
          <w:rFonts w:ascii="Bookman Old Style" w:hAnsi="Bookman Old Style" w:cs="Arial"/>
          <w:bCs/>
          <w:sz w:val="22"/>
          <w:szCs w:val="22"/>
          <w:lang w:eastAsia="en-US"/>
        </w:rPr>
      </w:pPr>
      <w:r w:rsidRPr="003C2133">
        <w:rPr>
          <w:rFonts w:ascii="Bookman Old Style" w:hAnsi="Bookman Old Style" w:cs="Arial"/>
          <w:bCs/>
          <w:sz w:val="22"/>
          <w:szCs w:val="22"/>
          <w:lang w:eastAsia="en-US"/>
        </w:rPr>
        <w:t>Il settore impositivo dell’IVA è stato interessato da svariate disposizioni contenute nella Legge di bilancio 2018.</w:t>
      </w:r>
    </w:p>
    <w:p w:rsidR="006649DC" w:rsidRPr="003C2133" w:rsidRDefault="006649DC" w:rsidP="003C2133">
      <w:pPr>
        <w:autoSpaceDE w:val="0"/>
        <w:autoSpaceDN w:val="0"/>
        <w:adjustRightInd w:val="0"/>
        <w:jc w:val="both"/>
        <w:rPr>
          <w:rFonts w:ascii="Bookman Old Style" w:hAnsi="Bookman Old Style" w:cs="Arial"/>
          <w:bCs/>
          <w:sz w:val="22"/>
          <w:szCs w:val="22"/>
          <w:lang w:eastAsia="en-US"/>
        </w:rPr>
      </w:pPr>
      <w:r w:rsidRPr="003C2133">
        <w:rPr>
          <w:rFonts w:ascii="Bookman Old Style" w:hAnsi="Bookman Old Style" w:cs="Arial"/>
          <w:bCs/>
          <w:sz w:val="22"/>
          <w:szCs w:val="22"/>
          <w:lang w:eastAsia="en-US"/>
        </w:rPr>
        <w:t>Si tratta:</w:t>
      </w:r>
    </w:p>
    <w:p w:rsidR="006649DC" w:rsidRPr="003C2133" w:rsidRDefault="006649DC" w:rsidP="003C2133">
      <w:pPr>
        <w:autoSpaceDE w:val="0"/>
        <w:autoSpaceDN w:val="0"/>
        <w:adjustRightInd w:val="0"/>
        <w:jc w:val="both"/>
        <w:rPr>
          <w:rFonts w:ascii="Bookman Old Style" w:hAnsi="Bookman Old Style" w:cs="Arial"/>
          <w:bCs/>
          <w:sz w:val="22"/>
          <w:szCs w:val="22"/>
          <w:lang w:eastAsia="en-US"/>
        </w:rPr>
      </w:pPr>
      <w:r w:rsidRPr="003C2133">
        <w:rPr>
          <w:rFonts w:ascii="Bookman Old Style" w:hAnsi="Bookman Old Style" w:cs="Arial"/>
          <w:bCs/>
          <w:sz w:val="22"/>
          <w:szCs w:val="22"/>
          <w:lang w:eastAsia="en-US"/>
        </w:rPr>
        <w:t>- della sterilizzazione (quindi, momentanea) dell’aumento delle aliquote IVA;</w:t>
      </w:r>
    </w:p>
    <w:p w:rsidR="006649DC" w:rsidRPr="003C2133" w:rsidRDefault="006649DC" w:rsidP="003C2133">
      <w:pPr>
        <w:autoSpaceDE w:val="0"/>
        <w:autoSpaceDN w:val="0"/>
        <w:adjustRightInd w:val="0"/>
        <w:jc w:val="both"/>
        <w:rPr>
          <w:rFonts w:ascii="Bookman Old Style" w:hAnsi="Bookman Old Style" w:cs="Arial"/>
          <w:bCs/>
          <w:sz w:val="22"/>
          <w:szCs w:val="22"/>
          <w:lang w:eastAsia="en-US"/>
        </w:rPr>
      </w:pPr>
      <w:r w:rsidRPr="003C2133">
        <w:rPr>
          <w:rFonts w:ascii="Bookman Old Style" w:hAnsi="Bookman Old Style" w:cs="Arial"/>
          <w:bCs/>
          <w:sz w:val="22"/>
          <w:szCs w:val="22"/>
          <w:lang w:eastAsia="en-US"/>
        </w:rPr>
        <w:t>- delle aliquote IVA applicabili ai settori dell’edilizia (in caso di interventi che comportino l’utilizzo di “beni significativi”), dello spettacolo, dello sport dilettantistico, del settore agricolo e dell’enoturismo;</w:t>
      </w:r>
    </w:p>
    <w:p w:rsidR="006649DC" w:rsidRDefault="006649DC" w:rsidP="003C2133">
      <w:pPr>
        <w:autoSpaceDE w:val="0"/>
        <w:autoSpaceDN w:val="0"/>
        <w:adjustRightInd w:val="0"/>
        <w:jc w:val="both"/>
        <w:rPr>
          <w:rFonts w:ascii="Bookman Old Style" w:hAnsi="Bookman Old Style" w:cs="Arial"/>
          <w:bCs/>
          <w:sz w:val="22"/>
          <w:szCs w:val="22"/>
          <w:lang w:eastAsia="en-US"/>
        </w:rPr>
      </w:pPr>
      <w:r w:rsidRPr="003C2133">
        <w:rPr>
          <w:rFonts w:ascii="Bookman Old Style" w:hAnsi="Bookman Old Style" w:cs="Arial"/>
          <w:bCs/>
          <w:sz w:val="22"/>
          <w:szCs w:val="22"/>
          <w:lang w:eastAsia="en-US"/>
        </w:rPr>
        <w:t>- delle sanzioni applicabili in caso di errata applicazione di aliquota IVA.</w:t>
      </w:r>
    </w:p>
    <w:p w:rsidR="006649DC" w:rsidRPr="003C2133" w:rsidRDefault="006649DC" w:rsidP="003C2133">
      <w:pPr>
        <w:autoSpaceDE w:val="0"/>
        <w:autoSpaceDN w:val="0"/>
        <w:adjustRightInd w:val="0"/>
        <w:jc w:val="both"/>
        <w:rPr>
          <w:rFonts w:ascii="Bookman Old Style" w:hAnsi="Bookman Old Style" w:cs="Arial"/>
          <w:bCs/>
          <w:sz w:val="22"/>
          <w:szCs w:val="22"/>
          <w:lang w:eastAsia="en-US"/>
        </w:rPr>
      </w:pPr>
    </w:p>
    <w:p w:rsidR="006649DC" w:rsidRPr="00563908" w:rsidRDefault="006649DC" w:rsidP="003C2133">
      <w:pPr>
        <w:autoSpaceDE w:val="0"/>
        <w:autoSpaceDN w:val="0"/>
        <w:adjustRightInd w:val="0"/>
        <w:jc w:val="both"/>
        <w:rPr>
          <w:rFonts w:ascii="Bookman Old Style" w:hAnsi="Bookman Old Style" w:cs="Arial"/>
          <w:bCs/>
          <w:i/>
          <w:sz w:val="22"/>
          <w:szCs w:val="22"/>
          <w:lang w:eastAsia="en-US"/>
        </w:rPr>
      </w:pPr>
      <w:r w:rsidRPr="00563908">
        <w:rPr>
          <w:rFonts w:ascii="Bookman Old Style" w:hAnsi="Bookman Old Style" w:cs="Arial"/>
          <w:bCs/>
          <w:i/>
          <w:sz w:val="22"/>
          <w:szCs w:val="22"/>
          <w:lang w:eastAsia="en-US"/>
        </w:rPr>
        <w:t>Sterilizzazione aumenti aliquote iva</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Il co. 2, lett. a), L. 27.12.2017, n. 205 modifica la clausola di salvaguardia che dispone l’aumento delle aliquote IVA (salvo che non vengano adottati provvedimenti normativi che consentano allo Stato il reperimento di un equivalente ammontare di risorse, in termini di maggiori entrate o di minori spese):</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1) la lett. a) del co. 718, art. 1, L. 23.12.2014, n. 190 (Legge finanziaria 2015), con l’effetto che l’incremento dell’aliquota IVA del 10% seguirà la progressione di cui alla tabella che segue; </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2) la lett. b) del citato co. 718, con l’effetto che l’incremento dell’aliquota IVA del 22% seguirà la progressione di cui alla tabella che segue. </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i/>
          <w:sz w:val="22"/>
          <w:szCs w:val="22"/>
          <w:lang w:eastAsia="en-US"/>
        </w:rPr>
        <w:t>Progressivo incremento delle aliquote IVA</w:t>
      </w:r>
      <w:r w:rsidRPr="003C2133">
        <w:rPr>
          <w:rFonts w:ascii="Bookman Old Style" w:hAnsi="Bookman Old Style" w:cs="Arial"/>
          <w:sz w:val="22"/>
          <w:szCs w:val="22"/>
          <w:lang w:eastAsia="en-U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0"/>
        <w:gridCol w:w="2552"/>
        <w:gridCol w:w="2551"/>
      </w:tblGrid>
      <w:tr w:rsidR="006649DC" w:rsidRPr="003C2133" w:rsidTr="0065205C">
        <w:tc>
          <w:tcPr>
            <w:tcW w:w="3260" w:type="dxa"/>
          </w:tcPr>
          <w:p w:rsidR="006649DC" w:rsidRPr="0065205C" w:rsidRDefault="006649DC" w:rsidP="0065205C">
            <w:pPr>
              <w:autoSpaceDE w:val="0"/>
              <w:autoSpaceDN w:val="0"/>
              <w:adjustRightInd w:val="0"/>
              <w:jc w:val="center"/>
              <w:rPr>
                <w:rFonts w:ascii="Bookman Old Style" w:hAnsi="Bookman Old Style" w:cs="Arial"/>
                <w:i/>
                <w:lang w:eastAsia="en-US"/>
              </w:rPr>
            </w:pPr>
            <w:r w:rsidRPr="0065205C">
              <w:rPr>
                <w:rFonts w:ascii="Bookman Old Style" w:hAnsi="Bookman Old Style" w:cs="Arial"/>
                <w:i/>
                <w:lang w:eastAsia="en-US"/>
              </w:rPr>
              <w:t>Aliquota IVA attuale</w:t>
            </w:r>
          </w:p>
        </w:tc>
        <w:tc>
          <w:tcPr>
            <w:tcW w:w="2552" w:type="dxa"/>
          </w:tcPr>
          <w:p w:rsidR="006649DC" w:rsidRPr="0065205C" w:rsidRDefault="006649DC" w:rsidP="0065205C">
            <w:pPr>
              <w:autoSpaceDE w:val="0"/>
              <w:autoSpaceDN w:val="0"/>
              <w:adjustRightInd w:val="0"/>
              <w:jc w:val="center"/>
              <w:rPr>
                <w:rFonts w:ascii="Bookman Old Style" w:hAnsi="Bookman Old Style" w:cs="Arial"/>
                <w:i/>
                <w:lang w:eastAsia="en-US"/>
              </w:rPr>
            </w:pPr>
            <w:r w:rsidRPr="0065205C">
              <w:rPr>
                <w:rFonts w:ascii="Bookman Old Style" w:hAnsi="Bookman Old Style" w:cs="Arial"/>
                <w:i/>
                <w:lang w:eastAsia="en-US"/>
              </w:rPr>
              <w:t>Anno</w:t>
            </w:r>
          </w:p>
        </w:tc>
        <w:tc>
          <w:tcPr>
            <w:tcW w:w="2551" w:type="dxa"/>
          </w:tcPr>
          <w:p w:rsidR="006649DC" w:rsidRPr="0065205C" w:rsidRDefault="006649DC" w:rsidP="0065205C">
            <w:pPr>
              <w:autoSpaceDE w:val="0"/>
              <w:autoSpaceDN w:val="0"/>
              <w:adjustRightInd w:val="0"/>
              <w:jc w:val="center"/>
              <w:rPr>
                <w:rFonts w:ascii="Bookman Old Style" w:hAnsi="Bookman Old Style" w:cs="Arial"/>
                <w:i/>
                <w:lang w:eastAsia="en-US"/>
              </w:rPr>
            </w:pPr>
            <w:r w:rsidRPr="0065205C">
              <w:rPr>
                <w:rFonts w:ascii="Bookman Old Style" w:hAnsi="Bookman Old Style" w:cs="Arial"/>
                <w:i/>
                <w:lang w:eastAsia="en-US"/>
              </w:rPr>
              <w:t>Aliquota futura</w:t>
            </w:r>
          </w:p>
        </w:tc>
      </w:tr>
      <w:tr w:rsidR="006649DC" w:rsidRPr="003C2133" w:rsidTr="0065205C">
        <w:tc>
          <w:tcPr>
            <w:tcW w:w="3260" w:type="dxa"/>
            <w:vMerge w:val="restart"/>
            <w:vAlign w:val="center"/>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10%</w:t>
            </w:r>
          </w:p>
        </w:tc>
        <w:tc>
          <w:tcPr>
            <w:tcW w:w="2552" w:type="dxa"/>
            <w:vAlign w:val="center"/>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Dal 2019</w:t>
            </w:r>
          </w:p>
        </w:tc>
        <w:tc>
          <w:tcPr>
            <w:tcW w:w="2551" w:type="dxa"/>
            <w:vAlign w:val="center"/>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11,5%</w:t>
            </w:r>
          </w:p>
        </w:tc>
      </w:tr>
      <w:tr w:rsidR="006649DC" w:rsidRPr="003C2133" w:rsidTr="0065205C">
        <w:tc>
          <w:tcPr>
            <w:tcW w:w="3260" w:type="dxa"/>
            <w:vMerge/>
            <w:vAlign w:val="center"/>
          </w:tcPr>
          <w:p w:rsidR="006649DC" w:rsidRPr="0065205C" w:rsidRDefault="006649DC" w:rsidP="0065205C">
            <w:pPr>
              <w:autoSpaceDE w:val="0"/>
              <w:autoSpaceDN w:val="0"/>
              <w:adjustRightInd w:val="0"/>
              <w:jc w:val="center"/>
              <w:rPr>
                <w:rFonts w:ascii="Bookman Old Style" w:hAnsi="Bookman Old Style" w:cs="Arial"/>
                <w:lang w:eastAsia="en-US"/>
              </w:rPr>
            </w:pPr>
          </w:p>
        </w:tc>
        <w:tc>
          <w:tcPr>
            <w:tcW w:w="2552" w:type="dxa"/>
            <w:vAlign w:val="center"/>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Dal 2020</w:t>
            </w:r>
          </w:p>
        </w:tc>
        <w:tc>
          <w:tcPr>
            <w:tcW w:w="2551" w:type="dxa"/>
            <w:vAlign w:val="center"/>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13%</w:t>
            </w:r>
          </w:p>
        </w:tc>
      </w:tr>
      <w:tr w:rsidR="006649DC" w:rsidRPr="003C2133" w:rsidTr="0065205C">
        <w:tc>
          <w:tcPr>
            <w:tcW w:w="3260" w:type="dxa"/>
            <w:vMerge w:val="restart"/>
            <w:vAlign w:val="center"/>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22%</w:t>
            </w:r>
          </w:p>
        </w:tc>
        <w:tc>
          <w:tcPr>
            <w:tcW w:w="2552" w:type="dxa"/>
            <w:vAlign w:val="center"/>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Dal 2019</w:t>
            </w:r>
          </w:p>
        </w:tc>
        <w:tc>
          <w:tcPr>
            <w:tcW w:w="2551" w:type="dxa"/>
            <w:vAlign w:val="center"/>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24,2%</w:t>
            </w:r>
          </w:p>
        </w:tc>
      </w:tr>
      <w:tr w:rsidR="006649DC" w:rsidRPr="003C2133" w:rsidTr="0065205C">
        <w:tc>
          <w:tcPr>
            <w:tcW w:w="3260" w:type="dxa"/>
            <w:vMerge/>
          </w:tcPr>
          <w:p w:rsidR="006649DC" w:rsidRPr="0065205C" w:rsidRDefault="006649DC" w:rsidP="0065205C">
            <w:pPr>
              <w:autoSpaceDE w:val="0"/>
              <w:autoSpaceDN w:val="0"/>
              <w:adjustRightInd w:val="0"/>
              <w:jc w:val="both"/>
              <w:rPr>
                <w:rFonts w:ascii="Bookman Old Style" w:hAnsi="Bookman Old Style" w:cs="Arial"/>
                <w:lang w:eastAsia="en-US"/>
              </w:rPr>
            </w:pPr>
          </w:p>
        </w:tc>
        <w:tc>
          <w:tcPr>
            <w:tcW w:w="2552" w:type="dxa"/>
            <w:vAlign w:val="center"/>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Dal 2020</w:t>
            </w:r>
          </w:p>
        </w:tc>
        <w:tc>
          <w:tcPr>
            <w:tcW w:w="2551" w:type="dxa"/>
            <w:vAlign w:val="center"/>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24,9%</w:t>
            </w:r>
          </w:p>
        </w:tc>
      </w:tr>
      <w:tr w:rsidR="006649DC" w:rsidRPr="003C2133" w:rsidTr="0065205C">
        <w:tc>
          <w:tcPr>
            <w:tcW w:w="3260" w:type="dxa"/>
            <w:vMerge/>
          </w:tcPr>
          <w:p w:rsidR="006649DC" w:rsidRPr="0065205C" w:rsidRDefault="006649DC" w:rsidP="0065205C">
            <w:pPr>
              <w:autoSpaceDE w:val="0"/>
              <w:autoSpaceDN w:val="0"/>
              <w:adjustRightInd w:val="0"/>
              <w:jc w:val="both"/>
              <w:rPr>
                <w:rFonts w:ascii="Bookman Old Style" w:hAnsi="Bookman Old Style" w:cs="Arial"/>
                <w:lang w:eastAsia="en-US"/>
              </w:rPr>
            </w:pPr>
          </w:p>
        </w:tc>
        <w:tc>
          <w:tcPr>
            <w:tcW w:w="2552" w:type="dxa"/>
            <w:vAlign w:val="center"/>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Dal 2021</w:t>
            </w:r>
          </w:p>
        </w:tc>
        <w:tc>
          <w:tcPr>
            <w:tcW w:w="2551" w:type="dxa"/>
            <w:vAlign w:val="center"/>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25%</w:t>
            </w:r>
          </w:p>
        </w:tc>
      </w:tr>
    </w:tbl>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L’intervento legislativo interviene (dopo i precedenti di cui all’art. 1, co. 6, L. 208/2015 e all’art. 1, co. 631, L. 232/2016) completando il differimento dell’innalzamento delle aliquote IVA già operato dall’art. 9, D.L. 50/2017 e pertanto nel 2018 non ci saranno aumenti delle aliquote dell’IVA, essendo confermate:</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l’aliquota ordinaria al 22% (come espressamente riportato nell’art. 16, D.P.R. 633/1972);</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più aliquote ridotte: al 10%, al 5% e al 4%.</w:t>
      </w:r>
    </w:p>
    <w:p w:rsidR="006649DC" w:rsidRPr="003C2133" w:rsidRDefault="006649DC" w:rsidP="003C2133">
      <w:pPr>
        <w:jc w:val="both"/>
        <w:rPr>
          <w:rFonts w:ascii="Bookman Old Style" w:hAnsi="Bookman Old Style" w:cs="Arial"/>
          <w:sz w:val="22"/>
          <w:szCs w:val="22"/>
          <w:lang w:eastAsia="en-US"/>
        </w:rPr>
      </w:pPr>
    </w:p>
    <w:p w:rsidR="006649DC" w:rsidRPr="00563908" w:rsidRDefault="006649DC" w:rsidP="003C2133">
      <w:pPr>
        <w:autoSpaceDE w:val="0"/>
        <w:autoSpaceDN w:val="0"/>
        <w:adjustRightInd w:val="0"/>
        <w:jc w:val="both"/>
        <w:rPr>
          <w:rFonts w:ascii="Bookman Old Style" w:hAnsi="Bookman Old Style" w:cs="Arial"/>
          <w:bCs/>
          <w:i/>
          <w:sz w:val="22"/>
          <w:szCs w:val="22"/>
          <w:lang w:eastAsia="en-US"/>
        </w:rPr>
      </w:pPr>
      <w:r w:rsidRPr="00563908">
        <w:rPr>
          <w:rFonts w:ascii="Bookman Old Style" w:hAnsi="Bookman Old Style" w:cs="Arial"/>
          <w:bCs/>
          <w:i/>
          <w:sz w:val="22"/>
          <w:szCs w:val="22"/>
          <w:lang w:eastAsia="en-US"/>
        </w:rPr>
        <w:t>Valore beni significativi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Il co. 19 della L. 205/2017 introduce una norma di interpretazione autentica delle disposizioni che consentono di applicare l’aliquota al 10% su alcuni interventi di recupero edilizio laddove siano utilizzati anche beni di valore significativo.</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L’interpretazione riguarda l’art. 7, co. 1, lett. b), L. 488/1999 (valevole per il solo anno 200, di anno in anno prorogata, e resa permanente ad opera dell’art. 2, co. 11, L. 191/2009) e il D.M. 29.12.1999 ai sensi dei quali si applica l’Iva al 10% ai seguenti interventi: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i/>
          <w:sz w:val="22"/>
          <w:szCs w:val="22"/>
          <w:lang w:eastAsia="en-US"/>
        </w:rPr>
        <w:t>Aliquote Iva negli interventi di recupero edilizio</w:t>
      </w:r>
      <w:r w:rsidRPr="003C2133">
        <w:rPr>
          <w:rFonts w:ascii="Bookman Old Style" w:hAnsi="Bookman Old Style" w:cs="Arial"/>
          <w:sz w:val="22"/>
          <w:szCs w:val="22"/>
          <w:lang w:eastAsia="en-US"/>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9"/>
        <w:gridCol w:w="6630"/>
      </w:tblGrid>
      <w:tr w:rsidR="006649DC" w:rsidRPr="003C2133" w:rsidTr="0065205C">
        <w:tc>
          <w:tcPr>
            <w:tcW w:w="3259" w:type="dxa"/>
          </w:tcPr>
          <w:p w:rsidR="006649DC" w:rsidRPr="0065205C" w:rsidRDefault="006649DC" w:rsidP="0065205C">
            <w:pPr>
              <w:autoSpaceDE w:val="0"/>
              <w:autoSpaceDN w:val="0"/>
              <w:adjustRightInd w:val="0"/>
              <w:jc w:val="center"/>
              <w:rPr>
                <w:rFonts w:ascii="Bookman Old Style" w:hAnsi="Bookman Old Style" w:cs="Arial"/>
                <w:i/>
                <w:lang w:eastAsia="en-US"/>
              </w:rPr>
            </w:pPr>
            <w:r w:rsidRPr="0065205C">
              <w:rPr>
                <w:rFonts w:ascii="Bookman Old Style" w:hAnsi="Bookman Old Style" w:cs="Arial"/>
                <w:i/>
                <w:lang w:eastAsia="en-US"/>
              </w:rPr>
              <w:t>Tipologia di intervento</w:t>
            </w:r>
          </w:p>
        </w:tc>
        <w:tc>
          <w:tcPr>
            <w:tcW w:w="6630" w:type="dxa"/>
          </w:tcPr>
          <w:p w:rsidR="006649DC" w:rsidRPr="0065205C" w:rsidRDefault="006649DC" w:rsidP="0065205C">
            <w:pPr>
              <w:autoSpaceDE w:val="0"/>
              <w:autoSpaceDN w:val="0"/>
              <w:adjustRightInd w:val="0"/>
              <w:jc w:val="center"/>
              <w:rPr>
                <w:rFonts w:ascii="Bookman Old Style" w:hAnsi="Bookman Old Style" w:cs="Arial"/>
                <w:i/>
                <w:lang w:eastAsia="en-US"/>
              </w:rPr>
            </w:pPr>
            <w:r w:rsidRPr="0065205C">
              <w:rPr>
                <w:rFonts w:ascii="Bookman Old Style" w:hAnsi="Bookman Old Style" w:cs="Arial"/>
                <w:i/>
                <w:lang w:eastAsia="en-US"/>
              </w:rPr>
              <w:t>Precisazioni</w:t>
            </w:r>
          </w:p>
        </w:tc>
      </w:tr>
      <w:tr w:rsidR="006649DC" w:rsidRPr="003C2133" w:rsidTr="0065205C">
        <w:tc>
          <w:tcPr>
            <w:tcW w:w="3259" w:type="dxa"/>
            <w:vAlign w:val="center"/>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bCs/>
                <w:lang w:eastAsia="en-US"/>
              </w:rPr>
              <w:t>manutenzione ordinaria e straordinaria</w:t>
            </w:r>
            <w:r w:rsidRPr="0065205C">
              <w:rPr>
                <w:rFonts w:ascii="Bookman Old Style" w:hAnsi="Bookman Old Style" w:cs="Arial"/>
                <w:lang w:eastAsia="en-US"/>
              </w:rPr>
              <w:t xml:space="preserve"> di cui alle lett. a) e b) del co. 1 dell’art. 31, L. 457/1978 (ora art. 3, co. 1, lett. a) e b), D.P.R. 380/2001), su immobili a prevalente </w:t>
            </w:r>
            <w:r w:rsidRPr="0065205C">
              <w:rPr>
                <w:rFonts w:ascii="Bookman Old Style" w:hAnsi="Bookman Old Style" w:cs="Arial"/>
                <w:bCs/>
                <w:lang w:eastAsia="en-US"/>
              </w:rPr>
              <w:t>destinazione abitativa privata, con alcune limitazioni in caso di fornitura, nel corso dell’intervento, di “beni significativi” (si veda oltre)</w:t>
            </w:r>
          </w:p>
        </w:tc>
        <w:tc>
          <w:tcPr>
            <w:tcW w:w="6630" w:type="dxa"/>
            <w:vAlign w:val="center"/>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Per fabbricati a “prevalente destinazione abitativa privata” si intendono (C.M. 7.4.2000, n. 71/E):</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 unità immobiliari classificate nella categoria catastale A (esclusa A/10), a prescindere dal loro effettivo utilizzo;</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 interi fabbricati a prevalente destinazione abitativa (ossia con oltre il 50% della superficie dei piani sopra terra destinati ad abitazione privata), limitatamente alle parti comuni;</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edifici di edilizia residenziale pubblica;</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 edifici assimilati alle case di abitazione ai sensi della L. 659/1961 (edifici scolastici, caserme, ospedali, case di cura, ricoveri, colonie climatiche, collegi, educandati, asili infantili, orfanotrofi);</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 pertinenze di immobili abitativi.</w:t>
            </w:r>
          </w:p>
        </w:tc>
      </w:tr>
      <w:tr w:rsidR="006649DC" w:rsidRPr="003C2133" w:rsidTr="0065205C">
        <w:tc>
          <w:tcPr>
            <w:tcW w:w="3259" w:type="dxa"/>
            <w:vAlign w:val="center"/>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Restauro e risanamento conservativo di cui all’art. 3, co. 1, lett. c), D.P.R. 380/2001</w:t>
            </w:r>
          </w:p>
        </w:tc>
        <w:tc>
          <w:tcPr>
            <w:tcW w:w="6630" w:type="dxa"/>
            <w:vAlign w:val="center"/>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L’aliquota ridotta è già prevista dal n. 127-undecies e dal n. 127-terdecies, Tabella A, Parte III, allegata al D.P.R. 633/1972 con riferimento alle prestazioni di servizi dipendenti da contratti di appalto per la realizzazione dei cennati interventi di recupero e per la fornitura di beni (escluse le materie prime e semilavorate), forniti per la realizzazione degli interventi in parola.</w:t>
            </w:r>
          </w:p>
        </w:tc>
      </w:tr>
      <w:tr w:rsidR="006649DC" w:rsidRPr="003C2133" w:rsidTr="0065205C">
        <w:tc>
          <w:tcPr>
            <w:tcW w:w="3259" w:type="dxa"/>
            <w:vAlign w:val="center"/>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Ristrutturazione edilizia di cui all’art. 3, co. 1, lett. d), D.P.R. 380/2001</w:t>
            </w:r>
          </w:p>
        </w:tc>
        <w:tc>
          <w:tcPr>
            <w:tcW w:w="6630" w:type="dxa"/>
            <w:vAlign w:val="center"/>
          </w:tcPr>
          <w:p w:rsidR="006649DC" w:rsidRPr="0065205C" w:rsidRDefault="006649DC" w:rsidP="0065205C">
            <w:pPr>
              <w:autoSpaceDE w:val="0"/>
              <w:autoSpaceDN w:val="0"/>
              <w:adjustRightInd w:val="0"/>
              <w:rPr>
                <w:rFonts w:ascii="Bookman Old Style" w:hAnsi="Bookman Old Style" w:cs="Arial"/>
                <w:lang w:eastAsia="en-US"/>
              </w:rPr>
            </w:pPr>
          </w:p>
        </w:tc>
      </w:tr>
      <w:tr w:rsidR="006649DC" w:rsidRPr="003C2133" w:rsidTr="0065205C">
        <w:tc>
          <w:tcPr>
            <w:tcW w:w="3259" w:type="dxa"/>
            <w:vAlign w:val="center"/>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Ristrutturazione urbanistica di cui all’art. 3, co. 1, lett. f), D.P.R. 380/2001</w:t>
            </w:r>
          </w:p>
        </w:tc>
        <w:tc>
          <w:tcPr>
            <w:tcW w:w="6630" w:type="dxa"/>
            <w:vAlign w:val="center"/>
          </w:tcPr>
          <w:p w:rsidR="006649DC" w:rsidRPr="0065205C" w:rsidRDefault="006649DC" w:rsidP="0065205C">
            <w:pPr>
              <w:autoSpaceDE w:val="0"/>
              <w:autoSpaceDN w:val="0"/>
              <w:adjustRightInd w:val="0"/>
              <w:rPr>
                <w:rFonts w:ascii="Bookman Old Style" w:hAnsi="Bookman Old Style" w:cs="Arial"/>
                <w:lang w:eastAsia="en-US"/>
              </w:rPr>
            </w:pPr>
          </w:p>
        </w:tc>
      </w:tr>
    </w:tbl>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L’art. 7, comma 1, lettera b) della Legge 23 dicembre 1999, n. 488 (Legge Finanziaria per l’anno 2000) ha ridotto al 10% l’aliquota IVA applicabile alle prestazioni relative alla realizzazione, su fabbricati a prevalente destinazione abitativa privata, degli interventi di recupero di cui alle lettere a), b), c) e d) della legge n. 457 del 5 agosto 1978, e cioè rispettivamente di interventi di manutenzione ordinaria, manutenzione straordinaria, restauro e risanamento conservativo e ristrutturazione edilizia.</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L’agevolazione in parola, prevista per l’anno 2000 ed originariamente a carattere temporaneo, è stata prorogata successivamente fino a tutto il 2009 fino a che , con la L. 191/2009 (Finanziaria 2010) ha disposta che fosse una norma  a regime (disciplina permanente).</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La norma fa espressamente salve le disposizioni più favorevoli già previste, in materia di IVA per gli interventi di restauro e risanamento conservativo e di ristrutturazione edilizia</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lettere c) e d) della L. 457/1978 - per i quali si continua ad applicare l’aliquota IVA del 10% per interventi effettuati su qualsiasi tipo di immobile.</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La portata innovativa della norma riguarda in sostanza gli interventi di manutenzione ordinaria e straordinaria effettuati su immobili a prevalente destinazione abitativa ai quali si applica a regime l’aliquota IVA del 10% anziché del 22%.</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L’agevolazione riguarda la prestazione di servizi complessivamente intesa, per cui si estende anche alle materie prime, ai semilavorati e agli altri beni necessari per i lavori a condizione che tali “beni” non costituiscano una parte “significativa” del valore delle cessioni effettuate nel quadro dell’intervento.</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Qualora, nel corso degli interventi di cui sopra, siano </w:t>
      </w:r>
      <w:r w:rsidRPr="003C2133">
        <w:rPr>
          <w:rFonts w:ascii="Bookman Old Style" w:hAnsi="Bookman Old Style" w:cs="Arial"/>
          <w:bCs/>
          <w:sz w:val="22"/>
          <w:szCs w:val="22"/>
          <w:lang w:eastAsia="en-US"/>
        </w:rPr>
        <w:t xml:space="preserve">utilizzati i cd. </w:t>
      </w:r>
      <w:r w:rsidRPr="003C2133">
        <w:rPr>
          <w:rFonts w:ascii="Bookman Old Style" w:hAnsi="Bookman Old Style" w:cs="Arial"/>
          <w:sz w:val="22"/>
          <w:szCs w:val="22"/>
          <w:lang w:eastAsia="en-US"/>
        </w:rPr>
        <w:t>“</w:t>
      </w:r>
      <w:r w:rsidRPr="003C2133">
        <w:rPr>
          <w:rFonts w:ascii="Bookman Old Style" w:hAnsi="Bookman Old Style" w:cs="Arial"/>
          <w:bCs/>
          <w:sz w:val="22"/>
          <w:szCs w:val="22"/>
          <w:lang w:eastAsia="en-US"/>
        </w:rPr>
        <w:t>beni significativi</w:t>
      </w:r>
      <w:r w:rsidRPr="003C2133">
        <w:rPr>
          <w:rFonts w:ascii="Bookman Old Style" w:hAnsi="Bookman Old Style" w:cs="Arial"/>
          <w:sz w:val="22"/>
          <w:szCs w:val="22"/>
          <w:lang w:eastAsia="en-US"/>
        </w:rPr>
        <w:t>” individuati dal DM 29.12.1999, l’aliquota al 10% si applica:</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al valore della prestazione di servizi;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al valore del bene significativo, nei limiti del valore della prestazione di servizi.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L’eccedenza sconta l’aliquota ordinaria.</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8"/>
      </w:tblGrid>
      <w:tr w:rsidR="006649DC" w:rsidRPr="003C2133" w:rsidTr="0065205C">
        <w:tc>
          <w:tcPr>
            <w:tcW w:w="9778" w:type="dxa"/>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Esempio 1</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Installazione di infissi presso immobile abitativo, al prezzo di 10.000 euro oltre a IVA.</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Il “valore” dei beni significativi ammonta a 6.000 euro.</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Il corrispettivo complessivo della prestazione (10.000 euro), al netto del valore dei beni significativi (6.000 euro), ossia un ammontare di 4.000 euro, viene assoggettato ad IVA al 10%. Si tratta, in pratica, della manodopera e dei beni accessori (es. materie prime utilizzate per la posa).</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Il corrispettivo dei beni significativi (6.000 euro) va scomposto tra:</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 differenza tra corrispettivo della prestazione complessiva (10.000 euro) e del valore dei beni significativi (6.000 euro), pari a 4.000 euro (corrispondente, di fatto, al medesimo valore della sola prestazione di manodopera), la quale va assoggettata ad IVA al 10%;</w:t>
            </w:r>
          </w:p>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 quota residua del valore dei beni significativi, ossia 2.000 euro, che va assoggettata ad IVA al 22%.</w:t>
            </w:r>
          </w:p>
        </w:tc>
      </w:tr>
    </w:tbl>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i/>
          <w:sz w:val="22"/>
          <w:szCs w:val="22"/>
          <w:lang w:eastAsia="en-US"/>
        </w:rPr>
        <w:t>Beni significativi</w:t>
      </w:r>
      <w:r w:rsidRPr="003C2133">
        <w:rPr>
          <w:rFonts w:ascii="Bookman Old Style" w:hAnsi="Bookman Old Style" w:cs="Arial"/>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8"/>
      </w:tblGrid>
      <w:tr w:rsidR="006649DC" w:rsidRPr="003C2133" w:rsidTr="0065205C">
        <w:tc>
          <w:tcPr>
            <w:tcW w:w="9778" w:type="dxa"/>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ascensori e montacarichi</w:t>
            </w:r>
          </w:p>
        </w:tc>
      </w:tr>
      <w:tr w:rsidR="006649DC" w:rsidRPr="003C2133" w:rsidTr="0065205C">
        <w:tc>
          <w:tcPr>
            <w:tcW w:w="9778" w:type="dxa"/>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Infissi (esterni ed interni)</w:t>
            </w:r>
          </w:p>
        </w:tc>
      </w:tr>
      <w:tr w:rsidR="006649DC" w:rsidRPr="003C2133" w:rsidTr="0065205C">
        <w:tc>
          <w:tcPr>
            <w:tcW w:w="9778" w:type="dxa"/>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Caldaie</w:t>
            </w:r>
          </w:p>
        </w:tc>
      </w:tr>
      <w:tr w:rsidR="006649DC" w:rsidRPr="003C2133" w:rsidTr="0065205C">
        <w:tc>
          <w:tcPr>
            <w:tcW w:w="9778" w:type="dxa"/>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Videocitofoni</w:t>
            </w:r>
          </w:p>
        </w:tc>
      </w:tr>
      <w:tr w:rsidR="006649DC" w:rsidRPr="003C2133" w:rsidTr="0065205C">
        <w:tc>
          <w:tcPr>
            <w:tcW w:w="9778" w:type="dxa"/>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Apparecchiature di condizionamento e riciclo dell’aria</w:t>
            </w:r>
          </w:p>
        </w:tc>
      </w:tr>
      <w:tr w:rsidR="006649DC" w:rsidRPr="003C2133" w:rsidTr="0065205C">
        <w:tc>
          <w:tcPr>
            <w:tcW w:w="9778" w:type="dxa"/>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Sanitarie e rubinetterie da bagno</w:t>
            </w:r>
          </w:p>
        </w:tc>
      </w:tr>
      <w:tr w:rsidR="006649DC" w:rsidRPr="003C2133" w:rsidTr="0065205C">
        <w:tc>
          <w:tcPr>
            <w:tcW w:w="9778" w:type="dxa"/>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Impianti di sicurezza</w:t>
            </w:r>
          </w:p>
        </w:tc>
      </w:tr>
    </w:tbl>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Secondo l’interpretazione autentica fornita con la Legge di bilancio 2018:</w:t>
      </w:r>
    </w:p>
    <w:p w:rsidR="006649DC" w:rsidRPr="003C2133" w:rsidRDefault="006649DC" w:rsidP="003C2133">
      <w:pPr>
        <w:autoSpaceDE w:val="0"/>
        <w:autoSpaceDN w:val="0"/>
        <w:adjustRightInd w:val="0"/>
        <w:jc w:val="both"/>
        <w:rPr>
          <w:rFonts w:ascii="Bookman Old Style" w:hAnsi="Bookman Old Style" w:cs="Arial"/>
          <w:i/>
          <w:iCs/>
          <w:sz w:val="22"/>
          <w:szCs w:val="22"/>
          <w:lang w:eastAsia="en-US"/>
        </w:rPr>
      </w:pPr>
      <w:r w:rsidRPr="003C2133">
        <w:rPr>
          <w:rFonts w:ascii="Bookman Old Style" w:eastAsia="SymbolOOEnc" w:hAnsi="Bookman Old Style" w:cs="SymbolOOEnc"/>
          <w:sz w:val="22"/>
          <w:szCs w:val="22"/>
          <w:lang w:eastAsia="en-US"/>
        </w:rPr>
        <w:t xml:space="preserve">- </w:t>
      </w:r>
      <w:r w:rsidRPr="003C2133">
        <w:rPr>
          <w:rFonts w:ascii="Bookman Old Style" w:hAnsi="Bookman Old Style" w:cs="Arial"/>
          <w:bCs/>
          <w:sz w:val="22"/>
          <w:szCs w:val="22"/>
          <w:lang w:eastAsia="en-US"/>
        </w:rPr>
        <w:t xml:space="preserve">l’individuazione dei beni </w:t>
      </w:r>
      <w:r w:rsidRPr="003C2133">
        <w:rPr>
          <w:rFonts w:ascii="Bookman Old Style" w:hAnsi="Bookman Old Style" w:cs="Arial"/>
          <w:sz w:val="22"/>
          <w:szCs w:val="22"/>
          <w:lang w:eastAsia="en-US"/>
        </w:rPr>
        <w:t xml:space="preserve">che costituiscono una parte significativa del valore delle forniture effettuate nell’ambito dei citati lavori di manutenzione e delle parti staccate </w:t>
      </w:r>
      <w:r w:rsidRPr="003C2133">
        <w:rPr>
          <w:rFonts w:ascii="Bookman Old Style" w:hAnsi="Bookman Old Style" w:cs="Arial"/>
          <w:i/>
          <w:iCs/>
          <w:sz w:val="22"/>
          <w:szCs w:val="22"/>
          <w:lang w:eastAsia="en-US"/>
        </w:rPr>
        <w:t xml:space="preserve">“si effettua </w:t>
      </w:r>
      <w:r w:rsidRPr="003C2133">
        <w:rPr>
          <w:rFonts w:ascii="Bookman Old Style" w:hAnsi="Bookman Old Style" w:cs="Arial"/>
          <w:bCs/>
          <w:i/>
          <w:iCs/>
          <w:sz w:val="22"/>
          <w:szCs w:val="22"/>
          <w:lang w:eastAsia="en-US"/>
        </w:rPr>
        <w:t>in base all’autonomia funzionale delle parti rispetto al manufatto principale</w:t>
      </w:r>
      <w:r w:rsidRPr="003C2133">
        <w:rPr>
          <w:rFonts w:ascii="Bookman Old Style" w:hAnsi="Bookman Old Style" w:cs="Arial"/>
          <w:i/>
          <w:iCs/>
          <w:sz w:val="22"/>
          <w:szCs w:val="22"/>
          <w:lang w:eastAsia="en-US"/>
        </w:rPr>
        <w:t>, come individuato nel citato decreto ministeriale”</w:t>
      </w:r>
      <w:r w:rsidRPr="003C2133">
        <w:rPr>
          <w:rFonts w:ascii="Bookman Old Style" w:hAnsi="Bookman Old Style" w:cs="Arial"/>
          <w:iCs/>
          <w:sz w:val="22"/>
          <w:szCs w:val="22"/>
          <w:lang w:eastAsia="en-US"/>
        </w:rPr>
        <w:t>. Pertanto, come già precisato nella C.M. 8.4.2016, n. 12/E, par. 17.2, qualora – nell’ambito di un intervento di recupero edilizio, con fornitura di beni significativi - siano presenti parti staccate, relativamente a queste ultime occorre verificare se esse sono connotate o meno di una autonomia funzionale rispetto al manufatto principale. In caso di autonomia funzionale, il componente (o parte staccata) non deve essere incluso nel valore del bene significativo (ai fini della verifica della quota di valore eventualmente da non assoggettare ad aliquota del 10%). Se, invece, la parte staccata costituisce parte integrante del bene principale (di valore significativo), il valore di tale componente rientra nel valore del bene significativo al fine di individuare la quota da assoggettare ad aliquota al 10%;</w:t>
      </w:r>
    </w:p>
    <w:p w:rsidR="006649DC" w:rsidRPr="003C2133" w:rsidRDefault="006649DC" w:rsidP="003C2133">
      <w:pPr>
        <w:autoSpaceDE w:val="0"/>
        <w:autoSpaceDN w:val="0"/>
        <w:adjustRightInd w:val="0"/>
        <w:jc w:val="both"/>
        <w:rPr>
          <w:rFonts w:ascii="Bookman Old Style" w:hAnsi="Bookman Old Style" w:cs="Arial"/>
          <w:iCs/>
          <w:sz w:val="22"/>
          <w:szCs w:val="22"/>
          <w:lang w:eastAsia="en-US"/>
        </w:rPr>
      </w:pPr>
      <w:r w:rsidRPr="003C2133">
        <w:rPr>
          <w:rFonts w:ascii="Bookman Old Style" w:eastAsia="SymbolOOEnc" w:hAnsi="Bookman Old Style" w:cs="SymbolOOEnc"/>
          <w:sz w:val="22"/>
          <w:szCs w:val="22"/>
          <w:lang w:eastAsia="en-US"/>
        </w:rPr>
        <w:t xml:space="preserve">- </w:t>
      </w:r>
      <w:r w:rsidRPr="003C2133">
        <w:rPr>
          <w:rFonts w:ascii="Bookman Old Style" w:hAnsi="Bookman Old Style" w:cs="Arial"/>
          <w:i/>
          <w:iCs/>
          <w:sz w:val="22"/>
          <w:szCs w:val="22"/>
          <w:lang w:eastAsia="en-US"/>
        </w:rPr>
        <w:t>“</w:t>
      </w:r>
      <w:r w:rsidRPr="003C2133">
        <w:rPr>
          <w:rFonts w:ascii="Bookman Old Style" w:hAnsi="Bookman Old Style" w:cs="Arial"/>
          <w:bCs/>
          <w:i/>
          <w:iCs/>
          <w:sz w:val="22"/>
          <w:szCs w:val="22"/>
          <w:lang w:eastAsia="en-US"/>
        </w:rPr>
        <w:t xml:space="preserve">come valore dei predetti beni </w:t>
      </w:r>
      <w:r w:rsidRPr="003C2133">
        <w:rPr>
          <w:rFonts w:ascii="Bookman Old Style" w:hAnsi="Bookman Old Style" w:cs="Arial"/>
          <w:i/>
          <w:iCs/>
          <w:sz w:val="22"/>
          <w:szCs w:val="22"/>
          <w:lang w:eastAsia="en-US"/>
        </w:rPr>
        <w:t xml:space="preserve">deve essere assunto quello </w:t>
      </w:r>
      <w:r w:rsidRPr="003C2133">
        <w:rPr>
          <w:rFonts w:ascii="Bookman Old Style" w:hAnsi="Bookman Old Style" w:cs="Arial"/>
          <w:bCs/>
          <w:i/>
          <w:iCs/>
          <w:sz w:val="22"/>
          <w:szCs w:val="22"/>
          <w:lang w:eastAsia="en-US"/>
        </w:rPr>
        <w:t xml:space="preserve">risultante dall’accordo contrattuale stipulato dalle parti </w:t>
      </w:r>
      <w:r w:rsidRPr="003C2133">
        <w:rPr>
          <w:rFonts w:ascii="Bookman Old Style" w:hAnsi="Bookman Old Style" w:cs="Arial"/>
          <w:i/>
          <w:iCs/>
          <w:sz w:val="22"/>
          <w:szCs w:val="22"/>
          <w:lang w:eastAsia="en-US"/>
        </w:rPr>
        <w:t xml:space="preserve">contraenti, che deve </w:t>
      </w:r>
      <w:r w:rsidRPr="003C2133">
        <w:rPr>
          <w:rFonts w:ascii="Bookman Old Style" w:hAnsi="Bookman Old Style" w:cs="Arial"/>
          <w:bCs/>
          <w:i/>
          <w:iCs/>
          <w:sz w:val="22"/>
          <w:szCs w:val="22"/>
          <w:lang w:eastAsia="en-US"/>
        </w:rPr>
        <w:t xml:space="preserve">tenere conto solo di tutti gli oneri che concorrono alla produzione </w:t>
      </w:r>
      <w:r w:rsidRPr="003C2133">
        <w:rPr>
          <w:rFonts w:ascii="Bookman Old Style" w:hAnsi="Bookman Old Style" w:cs="Arial"/>
          <w:i/>
          <w:iCs/>
          <w:sz w:val="22"/>
          <w:szCs w:val="22"/>
          <w:lang w:eastAsia="en-US"/>
        </w:rPr>
        <w:t>dei beni stessi e, dunque, sia delle materie prime che della manodopera impiegata per la produzione degli stessi</w:t>
      </w:r>
      <w:r w:rsidRPr="003C2133">
        <w:rPr>
          <w:rFonts w:ascii="Bookman Old Style" w:hAnsi="Bookman Old Style" w:cs="Arial"/>
          <w:iCs/>
          <w:sz w:val="22"/>
          <w:szCs w:val="22"/>
          <w:lang w:eastAsia="en-US"/>
        </w:rPr>
        <w:t xml:space="preserve">”. </w:t>
      </w:r>
      <w:r w:rsidRPr="003C2133">
        <w:rPr>
          <w:rFonts w:ascii="Bookman Old Style" w:hAnsi="Bookman Old Style" w:cs="Arial"/>
          <w:i/>
          <w:iCs/>
          <w:sz w:val="22"/>
          <w:szCs w:val="22"/>
          <w:lang w:eastAsia="en-US"/>
        </w:rPr>
        <w:t xml:space="preserve"> </w:t>
      </w:r>
      <w:r w:rsidRPr="003C2133">
        <w:rPr>
          <w:rFonts w:ascii="Bookman Old Style" w:hAnsi="Bookman Old Style" w:cs="Arial"/>
          <w:iCs/>
          <w:sz w:val="22"/>
          <w:szCs w:val="22"/>
          <w:lang w:eastAsia="en-US"/>
        </w:rPr>
        <w:t>Si tratta di un concetto già espresso nella prassi amministrativa (C.M. 8.4.2016, n. 12/E), ma la Legge di bilancio 2018 aggiunge che detto valore “</w:t>
      </w:r>
      <w:r w:rsidRPr="003C2133">
        <w:rPr>
          <w:rFonts w:ascii="Bookman Old Style" w:hAnsi="Bookman Old Style" w:cs="Arial"/>
          <w:bCs/>
          <w:i/>
          <w:iCs/>
          <w:sz w:val="22"/>
          <w:szCs w:val="22"/>
          <w:lang w:eastAsia="en-US"/>
        </w:rPr>
        <w:t xml:space="preserve">comunque, non può essere inferiore al prezzo di acquisto </w:t>
      </w:r>
      <w:r w:rsidRPr="003C2133">
        <w:rPr>
          <w:rFonts w:ascii="Bookman Old Style" w:hAnsi="Bookman Old Style" w:cs="Arial"/>
          <w:i/>
          <w:iCs/>
          <w:sz w:val="22"/>
          <w:szCs w:val="22"/>
          <w:lang w:eastAsia="en-US"/>
        </w:rPr>
        <w:t>dei beni stessi”</w:t>
      </w:r>
      <w:r w:rsidRPr="003C2133">
        <w:rPr>
          <w:rFonts w:ascii="Bookman Old Style" w:hAnsi="Bookman Old Style" w:cs="Arial"/>
          <w:iCs/>
          <w:sz w:val="22"/>
          <w:szCs w:val="22"/>
          <w:lang w:eastAsia="en-US"/>
        </w:rPr>
        <w:t xml:space="preserve"> sostenuto dal prestatore</w:t>
      </w:r>
      <w:r w:rsidRPr="003C2133">
        <w:rPr>
          <w:rFonts w:ascii="Bookman Old Style" w:hAnsi="Bookman Old Style" w:cs="Arial"/>
          <w:i/>
          <w:iCs/>
          <w:sz w:val="22"/>
          <w:szCs w:val="22"/>
          <w:lang w:eastAsia="en-US"/>
        </w:rPr>
        <w:t>.</w:t>
      </w:r>
      <w:r w:rsidRPr="003C2133">
        <w:rPr>
          <w:rFonts w:ascii="Bookman Old Style" w:hAnsi="Bookman Old Style" w:cs="Arial"/>
          <w:iCs/>
          <w:sz w:val="22"/>
          <w:szCs w:val="22"/>
          <w:lang w:eastAsia="en-US"/>
        </w:rPr>
        <w:t xml:space="preserve"> </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Quanto alla modalità di fatturazione, la Legge di bilancio 2018, riprendendo quanto già affermato dalla C.M. 7.4.2000, n. 71/E, par. 5.1, impone che la fattura emessa dal prestatore  indichi: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sia il servizio che costituisce l’oggetto della prestazione (es. sostituzione di infissi);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sia i beni significativi che sono forniti nell’ambito della prestazione stessa.</w:t>
      </w:r>
    </w:p>
    <w:p w:rsidR="006649DC" w:rsidRPr="003C2133" w:rsidRDefault="006649DC" w:rsidP="003C2133">
      <w:pPr>
        <w:autoSpaceDE w:val="0"/>
        <w:autoSpaceDN w:val="0"/>
        <w:adjustRightInd w:val="0"/>
        <w:jc w:val="both"/>
        <w:rPr>
          <w:rFonts w:ascii="Bookman Old Style" w:hAnsi="Bookman Old Style" w:cs="Arial"/>
          <w:iCs/>
          <w:sz w:val="22"/>
          <w:szCs w:val="22"/>
          <w:lang w:eastAsia="en-US"/>
        </w:rPr>
      </w:pPr>
      <w:r w:rsidRPr="003C2133">
        <w:rPr>
          <w:rFonts w:ascii="Bookman Old Style" w:eastAsia="SymbolOOEnc" w:hAnsi="Bookman Old Style" w:cs="SymbolOOEnc"/>
          <w:sz w:val="22"/>
          <w:szCs w:val="22"/>
          <w:lang w:eastAsia="en-US"/>
        </w:rPr>
        <w:t xml:space="preserve">La norma dispone testualmente che </w:t>
      </w:r>
      <w:r w:rsidRPr="003C2133">
        <w:rPr>
          <w:rFonts w:ascii="Bookman Old Style" w:hAnsi="Bookman Old Style" w:cs="Arial"/>
          <w:sz w:val="22"/>
          <w:szCs w:val="22"/>
          <w:lang w:eastAsia="en-US"/>
        </w:rPr>
        <w:t xml:space="preserve">la </w:t>
      </w:r>
      <w:r w:rsidRPr="003C2133">
        <w:rPr>
          <w:rFonts w:ascii="Bookman Old Style" w:hAnsi="Bookman Old Style" w:cs="Arial"/>
          <w:bCs/>
          <w:sz w:val="22"/>
          <w:szCs w:val="22"/>
          <w:lang w:eastAsia="en-US"/>
        </w:rPr>
        <w:t xml:space="preserve">fattura emessa dal prestatore </w:t>
      </w:r>
      <w:r w:rsidRPr="003C2133">
        <w:rPr>
          <w:rFonts w:ascii="Bookman Old Style" w:hAnsi="Bookman Old Style" w:cs="Arial"/>
          <w:sz w:val="22"/>
          <w:szCs w:val="22"/>
          <w:lang w:eastAsia="en-US"/>
        </w:rPr>
        <w:t xml:space="preserve">deve indicare </w:t>
      </w:r>
      <w:r w:rsidRPr="003C2133">
        <w:rPr>
          <w:rFonts w:ascii="Bookman Old Style" w:hAnsi="Bookman Old Style" w:cs="Arial"/>
          <w:i/>
          <w:iCs/>
          <w:sz w:val="22"/>
          <w:szCs w:val="22"/>
          <w:lang w:eastAsia="en-US"/>
        </w:rPr>
        <w:t>“</w:t>
      </w:r>
      <w:r w:rsidRPr="003C2133">
        <w:rPr>
          <w:rFonts w:ascii="Bookman Old Style" w:hAnsi="Bookman Old Style" w:cs="Arial"/>
          <w:bCs/>
          <w:i/>
          <w:iCs/>
          <w:sz w:val="22"/>
          <w:szCs w:val="22"/>
          <w:lang w:eastAsia="en-US"/>
        </w:rPr>
        <w:t xml:space="preserve">oltre al servizio </w:t>
      </w:r>
      <w:r w:rsidRPr="003C2133">
        <w:rPr>
          <w:rFonts w:ascii="Bookman Old Style" w:hAnsi="Bookman Old Style" w:cs="Arial"/>
          <w:i/>
          <w:iCs/>
          <w:sz w:val="22"/>
          <w:szCs w:val="22"/>
          <w:lang w:eastAsia="en-US"/>
        </w:rPr>
        <w:t xml:space="preserve">che costituisce l’oggetto della prestazione, anche </w:t>
      </w:r>
      <w:r w:rsidRPr="003C2133">
        <w:rPr>
          <w:rFonts w:ascii="Bookman Old Style" w:hAnsi="Bookman Old Style" w:cs="Arial"/>
          <w:bCs/>
          <w:i/>
          <w:iCs/>
          <w:sz w:val="22"/>
          <w:szCs w:val="22"/>
          <w:lang w:eastAsia="en-US"/>
        </w:rPr>
        <w:t xml:space="preserve">i beni di valore significativo </w:t>
      </w:r>
      <w:r w:rsidRPr="003C2133">
        <w:rPr>
          <w:rFonts w:ascii="Bookman Old Style" w:hAnsi="Bookman Old Style" w:cs="Arial"/>
          <w:i/>
          <w:iCs/>
          <w:sz w:val="22"/>
          <w:szCs w:val="22"/>
          <w:lang w:eastAsia="en-US"/>
        </w:rPr>
        <w:t>… che sono forniti nell’ambito dell’intervento”</w:t>
      </w:r>
      <w:r w:rsidRPr="003C2133">
        <w:rPr>
          <w:rFonts w:ascii="Bookman Old Style" w:hAnsi="Bookman Old Style" w:cs="Arial"/>
          <w:iCs/>
          <w:sz w:val="22"/>
          <w:szCs w:val="22"/>
          <w:lang w:eastAsia="en-US"/>
        </w:rPr>
        <w:t>.</w:t>
      </w:r>
    </w:p>
    <w:p w:rsidR="006649DC" w:rsidRPr="003C2133" w:rsidRDefault="006649DC" w:rsidP="003C2133">
      <w:pPr>
        <w:autoSpaceDE w:val="0"/>
        <w:autoSpaceDN w:val="0"/>
        <w:adjustRightInd w:val="0"/>
        <w:jc w:val="both"/>
        <w:rPr>
          <w:rFonts w:ascii="Bookman Old Style" w:hAnsi="Bookman Old Style" w:cs="Arial"/>
          <w:i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8"/>
      </w:tblGrid>
      <w:tr w:rsidR="006649DC" w:rsidRPr="003C2133" w:rsidTr="0065205C">
        <w:tc>
          <w:tcPr>
            <w:tcW w:w="9778" w:type="dxa"/>
          </w:tcPr>
          <w:p w:rsidR="006649DC" w:rsidRPr="0065205C" w:rsidRDefault="006649DC" w:rsidP="0065205C">
            <w:pPr>
              <w:autoSpaceDE w:val="0"/>
              <w:autoSpaceDN w:val="0"/>
              <w:adjustRightInd w:val="0"/>
              <w:jc w:val="both"/>
              <w:rPr>
                <w:rFonts w:ascii="Bookman Old Style" w:hAnsi="Bookman Old Style" w:cs="Arial"/>
                <w:iCs/>
                <w:lang w:eastAsia="en-US"/>
              </w:rPr>
            </w:pPr>
            <w:r w:rsidRPr="0065205C">
              <w:rPr>
                <w:rFonts w:ascii="Bookman Old Style" w:hAnsi="Bookman Old Style" w:cs="Arial"/>
                <w:iCs/>
                <w:lang w:eastAsia="en-US"/>
              </w:rPr>
              <w:t>Esempio 2</w:t>
            </w:r>
          </w:p>
          <w:p w:rsidR="006649DC" w:rsidRPr="0065205C" w:rsidRDefault="006649DC" w:rsidP="0065205C">
            <w:pPr>
              <w:autoSpaceDE w:val="0"/>
              <w:autoSpaceDN w:val="0"/>
              <w:adjustRightInd w:val="0"/>
              <w:jc w:val="both"/>
              <w:rPr>
                <w:rFonts w:ascii="Bookman Old Style" w:hAnsi="Bookman Old Style" w:cs="Arial"/>
                <w:iCs/>
                <w:lang w:eastAsia="en-US"/>
              </w:rPr>
            </w:pPr>
            <w:r w:rsidRPr="0065205C">
              <w:rPr>
                <w:rFonts w:ascii="Bookman Old Style" w:hAnsi="Bookman Old Style" w:cs="Arial"/>
                <w:iCs/>
                <w:lang w:eastAsia="en-US"/>
              </w:rPr>
              <w:t>Si riprendano i dati dell’esempio precedente, al fine di esemplificare il contenuto della parte descrittiva della fattura.</w:t>
            </w:r>
          </w:p>
          <w:p w:rsidR="006649DC" w:rsidRPr="0065205C" w:rsidRDefault="006649DC" w:rsidP="0065205C">
            <w:pPr>
              <w:autoSpaceDE w:val="0"/>
              <w:autoSpaceDN w:val="0"/>
              <w:adjustRightInd w:val="0"/>
              <w:jc w:val="both"/>
              <w:rPr>
                <w:rFonts w:ascii="Bookman Old Style" w:hAnsi="Bookman Old Style" w:cs="Arial"/>
                <w:iCs/>
                <w:sz w:val="16"/>
                <w:szCs w:val="16"/>
                <w:lang w:eastAsia="en-US"/>
              </w:rPr>
            </w:pPr>
          </w:p>
          <w:p w:rsidR="006649DC" w:rsidRPr="0065205C" w:rsidRDefault="006649DC" w:rsidP="0065205C">
            <w:pPr>
              <w:autoSpaceDE w:val="0"/>
              <w:autoSpaceDN w:val="0"/>
              <w:adjustRightInd w:val="0"/>
              <w:jc w:val="both"/>
              <w:rPr>
                <w:rFonts w:ascii="Bookman Old Style" w:hAnsi="Bookman Old Style" w:cs="Arial"/>
                <w:iCs/>
                <w:lang w:eastAsia="en-US"/>
              </w:rPr>
            </w:pPr>
            <w:r w:rsidRPr="0065205C">
              <w:rPr>
                <w:rFonts w:ascii="Bookman Old Style" w:hAnsi="Bookman Old Style" w:cs="Arial"/>
                <w:iCs/>
                <w:lang w:eastAsia="en-US"/>
              </w:rPr>
              <w:t>Sostituzione di infissi presso il Vostro appartamento sito in Milano, Via Fauché 36, con fornitura e posa di infissi in alluminio, mod. XY, vetri bianchi, con tripla camera.</w:t>
            </w:r>
          </w:p>
          <w:p w:rsidR="006649DC" w:rsidRPr="0065205C" w:rsidRDefault="006649DC" w:rsidP="0065205C">
            <w:pPr>
              <w:autoSpaceDE w:val="0"/>
              <w:autoSpaceDN w:val="0"/>
              <w:adjustRightInd w:val="0"/>
              <w:jc w:val="both"/>
              <w:rPr>
                <w:rFonts w:ascii="Bookman Old Style" w:hAnsi="Bookman Old Style" w:cs="Arial"/>
                <w:iCs/>
                <w:lang w:eastAsia="en-US"/>
              </w:rPr>
            </w:pPr>
            <w:r w:rsidRPr="0065205C">
              <w:rPr>
                <w:rFonts w:ascii="Bookman Old Style" w:hAnsi="Bookman Old Style" w:cs="Arial"/>
                <w:iCs/>
                <w:lang w:eastAsia="en-US"/>
              </w:rPr>
              <w:t>Corrispettivo pattuito 10.000,00 euro, oltre a IVA.</w:t>
            </w:r>
          </w:p>
          <w:p w:rsidR="006649DC" w:rsidRPr="0065205C" w:rsidRDefault="006649DC" w:rsidP="0065205C">
            <w:pPr>
              <w:autoSpaceDE w:val="0"/>
              <w:autoSpaceDN w:val="0"/>
              <w:adjustRightInd w:val="0"/>
              <w:jc w:val="both"/>
              <w:rPr>
                <w:rFonts w:ascii="Bookman Old Style" w:hAnsi="Bookman Old Style" w:cs="Arial"/>
                <w:iCs/>
                <w:sz w:val="8"/>
                <w:szCs w:val="8"/>
                <w:lang w:eastAsia="en-US"/>
              </w:rPr>
            </w:pPr>
          </w:p>
          <w:p w:rsidR="006649DC" w:rsidRPr="0065205C" w:rsidRDefault="006649DC" w:rsidP="0065205C">
            <w:pPr>
              <w:autoSpaceDE w:val="0"/>
              <w:autoSpaceDN w:val="0"/>
              <w:adjustRightInd w:val="0"/>
              <w:jc w:val="both"/>
              <w:rPr>
                <w:rFonts w:ascii="Bookman Old Style" w:hAnsi="Bookman Old Style" w:cs="Arial"/>
                <w:iCs/>
                <w:lang w:eastAsia="en-US"/>
              </w:rPr>
            </w:pPr>
            <w:r w:rsidRPr="0065205C">
              <w:rPr>
                <w:rFonts w:ascii="Bookman Old Style" w:hAnsi="Bookman Old Style" w:cs="Arial"/>
                <w:iCs/>
                <w:lang w:eastAsia="en-US"/>
              </w:rPr>
              <w:t>Prestazione per la posa, incluse le materie prime utilizzate:                         4.000,00</w:t>
            </w:r>
          </w:p>
          <w:p w:rsidR="006649DC" w:rsidRPr="0065205C" w:rsidRDefault="006649DC" w:rsidP="0065205C">
            <w:pPr>
              <w:autoSpaceDE w:val="0"/>
              <w:autoSpaceDN w:val="0"/>
              <w:adjustRightInd w:val="0"/>
              <w:jc w:val="both"/>
              <w:rPr>
                <w:rFonts w:ascii="Bookman Old Style" w:hAnsi="Bookman Old Style" w:cs="Arial"/>
                <w:iCs/>
                <w:lang w:eastAsia="en-US"/>
              </w:rPr>
            </w:pPr>
            <w:r w:rsidRPr="0065205C">
              <w:rPr>
                <w:rFonts w:ascii="Bookman Old Style" w:hAnsi="Bookman Old Style" w:cs="Arial"/>
                <w:iCs/>
                <w:lang w:eastAsia="en-US"/>
              </w:rPr>
              <w:t>Fornitura di infissi (beni significativi ex D.M. 29.12.1999) di valore pari a    6.000,00</w:t>
            </w:r>
          </w:p>
          <w:p w:rsidR="006649DC" w:rsidRPr="0065205C" w:rsidRDefault="006649DC" w:rsidP="0065205C">
            <w:pPr>
              <w:autoSpaceDE w:val="0"/>
              <w:autoSpaceDN w:val="0"/>
              <w:adjustRightInd w:val="0"/>
              <w:jc w:val="both"/>
              <w:rPr>
                <w:rFonts w:ascii="Bookman Old Style" w:hAnsi="Bookman Old Style" w:cs="Arial"/>
                <w:iCs/>
                <w:sz w:val="8"/>
                <w:szCs w:val="8"/>
                <w:lang w:eastAsia="en-US"/>
              </w:rPr>
            </w:pPr>
          </w:p>
          <w:p w:rsidR="006649DC" w:rsidRPr="0065205C" w:rsidRDefault="006649DC" w:rsidP="0065205C">
            <w:pPr>
              <w:autoSpaceDE w:val="0"/>
              <w:autoSpaceDN w:val="0"/>
              <w:adjustRightInd w:val="0"/>
              <w:jc w:val="both"/>
              <w:rPr>
                <w:rFonts w:ascii="Bookman Old Style" w:hAnsi="Bookman Old Style" w:cs="Arial"/>
                <w:iCs/>
                <w:lang w:eastAsia="en-US"/>
              </w:rPr>
            </w:pPr>
            <w:r w:rsidRPr="0065205C">
              <w:rPr>
                <w:rFonts w:ascii="Bookman Old Style" w:hAnsi="Bookman Old Style" w:cs="Arial"/>
                <w:iCs/>
                <w:lang w:eastAsia="en-US"/>
              </w:rPr>
              <w:t>IMPONIBILE           ALIQUOTA             IMPOSTA</w:t>
            </w:r>
          </w:p>
          <w:p w:rsidR="006649DC" w:rsidRPr="0065205C" w:rsidRDefault="006649DC" w:rsidP="0065205C">
            <w:pPr>
              <w:autoSpaceDE w:val="0"/>
              <w:autoSpaceDN w:val="0"/>
              <w:adjustRightInd w:val="0"/>
              <w:jc w:val="both"/>
              <w:rPr>
                <w:rFonts w:ascii="Bookman Old Style" w:hAnsi="Bookman Old Style" w:cs="Arial"/>
                <w:iCs/>
                <w:lang w:eastAsia="en-US"/>
              </w:rPr>
            </w:pPr>
            <w:r w:rsidRPr="0065205C">
              <w:rPr>
                <w:rFonts w:ascii="Bookman Old Style" w:hAnsi="Bookman Old Style" w:cs="Arial"/>
                <w:iCs/>
                <w:lang w:eastAsia="en-US"/>
              </w:rPr>
              <w:t xml:space="preserve">  8.000,00                   10%                    800,00</w:t>
            </w:r>
          </w:p>
          <w:p w:rsidR="006649DC" w:rsidRPr="0065205C" w:rsidRDefault="006649DC" w:rsidP="0065205C">
            <w:pPr>
              <w:autoSpaceDE w:val="0"/>
              <w:autoSpaceDN w:val="0"/>
              <w:adjustRightInd w:val="0"/>
              <w:jc w:val="both"/>
              <w:rPr>
                <w:rFonts w:ascii="Bookman Old Style" w:hAnsi="Bookman Old Style" w:cs="Arial"/>
                <w:iCs/>
                <w:lang w:eastAsia="en-US"/>
              </w:rPr>
            </w:pPr>
            <w:r w:rsidRPr="0065205C">
              <w:rPr>
                <w:rFonts w:ascii="Bookman Old Style" w:hAnsi="Bookman Old Style" w:cs="Arial"/>
                <w:iCs/>
                <w:lang w:eastAsia="en-US"/>
              </w:rPr>
              <w:t xml:space="preserve">  2.000,00                    22%                   440,00</w:t>
            </w:r>
          </w:p>
        </w:tc>
      </w:tr>
    </w:tbl>
    <w:p w:rsidR="006649DC" w:rsidRPr="003C2133" w:rsidRDefault="006649DC" w:rsidP="003C2133">
      <w:pPr>
        <w:autoSpaceDE w:val="0"/>
        <w:autoSpaceDN w:val="0"/>
        <w:adjustRightInd w:val="0"/>
        <w:jc w:val="both"/>
        <w:rPr>
          <w:rFonts w:ascii="Bookman Old Style" w:hAnsi="Bookman Old Style" w:cs="Arial"/>
          <w:iCs/>
          <w:sz w:val="22"/>
          <w:szCs w:val="22"/>
          <w:lang w:eastAsia="en-US"/>
        </w:rPr>
      </w:pPr>
    </w:p>
    <w:p w:rsidR="006649DC" w:rsidRPr="003C2133" w:rsidRDefault="006649DC" w:rsidP="003C2133">
      <w:pPr>
        <w:autoSpaceDE w:val="0"/>
        <w:autoSpaceDN w:val="0"/>
        <w:adjustRightInd w:val="0"/>
        <w:jc w:val="both"/>
        <w:rPr>
          <w:rFonts w:ascii="Bookman Old Style" w:hAnsi="Bookman Old Style" w:cs="Arial"/>
          <w:iCs/>
          <w:sz w:val="22"/>
          <w:szCs w:val="22"/>
          <w:lang w:eastAsia="en-US"/>
        </w:rPr>
      </w:pPr>
      <w:r w:rsidRPr="003C2133">
        <w:rPr>
          <w:rFonts w:ascii="Bookman Old Style" w:hAnsi="Bookman Old Style" w:cs="Arial"/>
          <w:iCs/>
          <w:sz w:val="22"/>
          <w:szCs w:val="22"/>
          <w:lang w:eastAsia="en-US"/>
        </w:rPr>
        <w:t>Infine, la Legge di bilancio 2018 stabilisce che:</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eastAsia="SymbolOOEnc" w:hAnsi="Bookman Old Style" w:cs="SymbolOOEnc"/>
          <w:sz w:val="22"/>
          <w:szCs w:val="22"/>
          <w:lang w:eastAsia="en-US"/>
        </w:rPr>
        <w:t xml:space="preserve">- </w:t>
      </w:r>
      <w:r w:rsidRPr="003C2133">
        <w:rPr>
          <w:rFonts w:ascii="Bookman Old Style" w:hAnsi="Bookman Old Style" w:cs="Arial"/>
          <w:sz w:val="22"/>
          <w:szCs w:val="22"/>
          <w:lang w:eastAsia="en-US"/>
        </w:rPr>
        <w:t>sono fatti salvi i comportamenti difformi tenuti fino al 31.12.2017;</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eastAsia="SymbolOOEnc" w:hAnsi="Bookman Old Style" w:cs="SymbolOOEnc"/>
          <w:sz w:val="22"/>
          <w:szCs w:val="22"/>
          <w:lang w:eastAsia="en-US"/>
        </w:rPr>
        <w:t xml:space="preserve">- </w:t>
      </w:r>
      <w:r w:rsidRPr="003C2133">
        <w:rPr>
          <w:rFonts w:ascii="Bookman Old Style" w:hAnsi="Bookman Old Style" w:cs="Arial"/>
          <w:sz w:val="22"/>
          <w:szCs w:val="22"/>
          <w:lang w:eastAsia="en-US"/>
        </w:rPr>
        <w:t>non è previsto il rimborso dell’IVA applicata sulle operazioni effettuate in difformità rispetto ai criteri stabiliti dalla commentata norma interpretativa.</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563908" w:rsidRDefault="006649DC" w:rsidP="003C2133">
      <w:pPr>
        <w:autoSpaceDE w:val="0"/>
        <w:autoSpaceDN w:val="0"/>
        <w:adjustRightInd w:val="0"/>
        <w:jc w:val="both"/>
        <w:rPr>
          <w:rFonts w:ascii="Bookman Old Style" w:hAnsi="Bookman Old Style" w:cs="Arial"/>
          <w:bCs/>
          <w:i/>
          <w:sz w:val="22"/>
          <w:szCs w:val="22"/>
          <w:lang w:eastAsia="en-US"/>
        </w:rPr>
      </w:pPr>
      <w:r w:rsidRPr="00563908">
        <w:rPr>
          <w:rFonts w:ascii="Bookman Old Style" w:hAnsi="Bookman Old Style" w:cs="Arial"/>
          <w:bCs/>
          <w:i/>
          <w:sz w:val="22"/>
          <w:szCs w:val="22"/>
          <w:lang w:eastAsia="en-US"/>
        </w:rPr>
        <w:t>Aliquota iva negli spettacoli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Il co. 340, L. 205/2017, modificando il n. 119) della Tabella A, Parte III, allegata al D.P.R. 633/1972 estende l’aliquota al 10% a qualunque prestazione relativa agli “spettacoli”, anche se rese da intermediari.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Recita la norma, che l’aliquota al 10% si applica ai contratti di scrittura connessi con gli </w:t>
      </w:r>
      <w:r w:rsidRPr="003C2133">
        <w:rPr>
          <w:rFonts w:ascii="Bookman Old Style" w:hAnsi="Bookman Old Style" w:cs="Arial"/>
          <w:bCs/>
          <w:sz w:val="22"/>
          <w:szCs w:val="22"/>
          <w:lang w:eastAsia="en-US"/>
        </w:rPr>
        <w:t xml:space="preserve">spettacoli di qualsiasi tipo </w:t>
      </w:r>
      <w:r w:rsidRPr="003C2133">
        <w:rPr>
          <w:rFonts w:ascii="Bookman Old Style" w:hAnsi="Bookman Old Style" w:cs="Arial"/>
          <w:sz w:val="22"/>
          <w:szCs w:val="22"/>
          <w:lang w:eastAsia="en-US"/>
        </w:rPr>
        <w:t xml:space="preserve">compresi </w:t>
      </w:r>
      <w:r w:rsidRPr="003C2133">
        <w:rPr>
          <w:rFonts w:ascii="Bookman Old Style" w:hAnsi="Bookman Old Style" w:cs="Arial"/>
          <w:i/>
          <w:iCs/>
          <w:sz w:val="22"/>
          <w:szCs w:val="22"/>
          <w:lang w:eastAsia="en-US"/>
        </w:rPr>
        <w:t>“opere liriche, balletto, prosa, operetta, commedia musicale, rivista; concerti vocali e strumentali; attività circensi e dello spettacolo viaggiante, spettacoli di burattini, marionette e maschere, compresi corsi mascherati e in costume, ovunque tenuti”</w:t>
      </w:r>
      <w:r w:rsidRPr="003C2133">
        <w:rPr>
          <w:rFonts w:ascii="Bookman Old Style" w:hAnsi="Bookman Old Style" w:cs="Arial"/>
          <w:sz w:val="22"/>
          <w:szCs w:val="22"/>
          <w:lang w:eastAsia="en-US"/>
        </w:rPr>
        <w:t>, nonché alle relative prestazioni, resi da intermediari.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Le novità consistono nell’aver esteso l’aliquota al 10%:</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a tutti gli spettacoli (di cui al n. 123) della Tabella A, Parte III, allegata al D.P.R. 633/1972), e quindi agli spettacoli teatrali di qualsiasi tipo (incluse le opere liriche, balletto, prosa, operetta, commedia musicale, rivista), ai concerti vocali e strumentali (come definiti dalla R.M. 20.6.2008, n. 257/E), alle attività circensi e dello spettacolo viaggiante, agli spettacoli di burattini, marionette, maschere (inclusi i corsi mascherati e in costume), ovunque tenuti. Prima di questo intervento l’aliquota al 10% era riservata ai soli “</w:t>
      </w:r>
      <w:r w:rsidRPr="003C2133">
        <w:rPr>
          <w:rFonts w:ascii="Bookman Old Style" w:hAnsi="Bookman Old Style" w:cs="Arial"/>
          <w:i/>
          <w:sz w:val="22"/>
          <w:szCs w:val="22"/>
          <w:lang w:eastAsia="en-US"/>
        </w:rPr>
        <w:t>contratti di scrittura connessi con spettacoli teatrali</w:t>
      </w:r>
      <w:r w:rsidRPr="003C2133">
        <w:rPr>
          <w:rFonts w:ascii="Bookman Old Style" w:hAnsi="Bookman Old Style" w:cs="Arial"/>
          <w:sz w:val="22"/>
          <w:szCs w:val="22"/>
          <w:lang w:eastAsia="en-US"/>
        </w:rPr>
        <w:t>” (quindi non a tutti) e alle prestazione connesse (secondo l’interpretazione fornita dall’art. 1, co. 300, L. 296/2006);</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alla generalità delle prestazioni, anche di intermediazione, rese nel settore dello “spettacolo”. E’ verosimilmente superata la R.M. 28.12.2007, n. 393/E, secondo cui si applica l’aliquota IVA ordinaria alle prestazioni di servizi rese dal produttore (es. forniture di strutture e dei materiali necessari all’allestimento dell’evento, come il palcoscenico, gli impianti, le scenografie) nei confronti dell’organizzatore dello spettacolo. L’interpretazione di prassi era già in contrasto con quella espressa dalla precedente R.M. 26.9.2001, n. 138/E secondo cui l’aliquota al 10% si applica – oltre alle prestazioni artistiche – anche a quelle “</w:t>
      </w:r>
      <w:r w:rsidRPr="003C2133">
        <w:rPr>
          <w:rFonts w:ascii="Bookman Old Style" w:hAnsi="Bookman Old Style" w:cs="Arial"/>
          <w:i/>
          <w:sz w:val="22"/>
          <w:szCs w:val="22"/>
          <w:lang w:eastAsia="en-US"/>
        </w:rPr>
        <w:t>tecniche direttamente strumentali alla realizzazione degli spettacoli teatrali</w:t>
      </w:r>
      <w:r w:rsidRPr="003C2133">
        <w:rPr>
          <w:rFonts w:ascii="Bookman Old Style" w:hAnsi="Bookman Old Style" w:cs="Arial"/>
          <w:sz w:val="22"/>
          <w:szCs w:val="22"/>
          <w:lang w:eastAsia="en-US"/>
        </w:rPr>
        <w:t>”.</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563908" w:rsidRDefault="006649DC" w:rsidP="003C2133">
      <w:pPr>
        <w:autoSpaceDE w:val="0"/>
        <w:autoSpaceDN w:val="0"/>
        <w:adjustRightInd w:val="0"/>
        <w:jc w:val="both"/>
        <w:rPr>
          <w:rFonts w:ascii="Bookman Old Style" w:hAnsi="Bookman Old Style" w:cs="Arial"/>
          <w:bCs/>
          <w:i/>
          <w:sz w:val="22"/>
          <w:szCs w:val="22"/>
          <w:lang w:eastAsia="en-US"/>
        </w:rPr>
      </w:pPr>
      <w:r w:rsidRPr="00563908">
        <w:rPr>
          <w:rFonts w:ascii="Bookman Old Style" w:hAnsi="Bookman Old Style" w:cs="Arial"/>
          <w:bCs/>
          <w:i/>
          <w:sz w:val="22"/>
          <w:szCs w:val="22"/>
          <w:lang w:eastAsia="en-US"/>
        </w:rPr>
        <w:t>Aliquota iva per i servizi sportivi</w:t>
      </w:r>
    </w:p>
    <w:p w:rsidR="006649DC" w:rsidRPr="003C2133" w:rsidRDefault="006649DC" w:rsidP="003C2133">
      <w:pPr>
        <w:autoSpaceDE w:val="0"/>
        <w:autoSpaceDN w:val="0"/>
        <w:adjustRightInd w:val="0"/>
        <w:jc w:val="both"/>
        <w:rPr>
          <w:rFonts w:ascii="Bookman Old Style" w:hAnsi="Bookman Old Style" w:cs="Arial"/>
          <w:bCs/>
          <w:sz w:val="22"/>
          <w:szCs w:val="22"/>
          <w:lang w:eastAsia="en-US"/>
        </w:rPr>
      </w:pPr>
      <w:r w:rsidRPr="003C2133">
        <w:rPr>
          <w:rFonts w:ascii="Bookman Old Style" w:hAnsi="Bookman Old Style" w:cs="Arial"/>
          <w:bCs/>
          <w:sz w:val="22"/>
          <w:szCs w:val="22"/>
          <w:lang w:eastAsia="en-US"/>
        </w:rPr>
        <w:t>Il co. 357, L. 205/2017, introducendo il nuovo n. 123-quater) nella Tabella A, Parte III, allegata al D.P.R. 633/1972, fissa l’aliquota Iva al 10% per i servizi di carattere sportivo resi - dalla società sportive dilettantistiche lucrative riconosciute dal CONI – nei confronti di chi pratica l’attività sportiva (a titolo occasionale o continuativo) in impianti gestiti da tali società.</w:t>
      </w:r>
    </w:p>
    <w:p w:rsidR="006649DC" w:rsidRPr="003C2133" w:rsidRDefault="006649DC" w:rsidP="003C2133">
      <w:pPr>
        <w:autoSpaceDE w:val="0"/>
        <w:autoSpaceDN w:val="0"/>
        <w:adjustRightInd w:val="0"/>
        <w:jc w:val="both"/>
        <w:rPr>
          <w:rFonts w:ascii="Bookman Old Style" w:hAnsi="Bookman Old Style" w:cs="Arial"/>
          <w:bCs/>
          <w:sz w:val="22"/>
          <w:szCs w:val="22"/>
          <w:lang w:eastAsia="en-US"/>
        </w:rPr>
      </w:pPr>
      <w:r w:rsidRPr="003C2133">
        <w:rPr>
          <w:rFonts w:ascii="Bookman Old Style" w:hAnsi="Bookman Old Style" w:cs="Arial"/>
          <w:bCs/>
          <w:sz w:val="22"/>
          <w:szCs w:val="22"/>
          <w:lang w:eastAsia="en-US"/>
        </w:rPr>
        <w:t>Per un più esteso commento si rinvia alla sezione dedicata alle novità del Terzo settore.</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563908" w:rsidRDefault="006649DC" w:rsidP="003C2133">
      <w:pPr>
        <w:autoSpaceDE w:val="0"/>
        <w:autoSpaceDN w:val="0"/>
        <w:adjustRightInd w:val="0"/>
        <w:jc w:val="both"/>
        <w:rPr>
          <w:rFonts w:ascii="Bookman Old Style" w:hAnsi="Bookman Old Style" w:cs="Arial"/>
          <w:bCs/>
          <w:i/>
          <w:sz w:val="22"/>
          <w:szCs w:val="22"/>
          <w:lang w:eastAsia="en-US"/>
        </w:rPr>
      </w:pPr>
      <w:r w:rsidRPr="00563908">
        <w:rPr>
          <w:rFonts w:ascii="Bookman Old Style" w:hAnsi="Bookman Old Style" w:cs="Arial"/>
          <w:bCs/>
          <w:i/>
          <w:sz w:val="22"/>
          <w:szCs w:val="22"/>
          <w:lang w:eastAsia="en-US"/>
        </w:rPr>
        <w:t>Percentuali di compensazione per bovini e suini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Il co. 506, L. 205/2017 stabilisce che, con provvedimenti da parte dei Ministeri dell’Economia e delle Politiche agricole, si disporrà, </w:t>
      </w:r>
      <w:r w:rsidRPr="003C2133">
        <w:rPr>
          <w:rFonts w:ascii="Bookman Old Style" w:hAnsi="Bookman Old Style" w:cs="Arial"/>
          <w:bCs/>
          <w:sz w:val="22"/>
          <w:szCs w:val="22"/>
          <w:lang w:eastAsia="en-US"/>
        </w:rPr>
        <w:t xml:space="preserve">per il triennio 2018-2020, </w:t>
      </w:r>
      <w:r w:rsidRPr="003C2133">
        <w:rPr>
          <w:rFonts w:ascii="Bookman Old Style" w:hAnsi="Bookman Old Style" w:cs="Arial"/>
          <w:sz w:val="22"/>
          <w:szCs w:val="22"/>
          <w:lang w:eastAsia="en-US"/>
        </w:rPr>
        <w:t>l’aumento delle percentuali di compensazione dell’IVA (ai fini della detrazione dell’IVA, forfetizzata ai sensi dell’art. 34, co. 1, D.P.R. 633/1972) applicabili – da parte dei produttori agricoli in regime speciale IVA - alle cessioni di animali vivi della specie bovina e suina.</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La percentuale applicabile </w:t>
      </w:r>
      <w:r w:rsidRPr="003C2133">
        <w:rPr>
          <w:rFonts w:ascii="Bookman Old Style" w:hAnsi="Bookman Old Style" w:cs="Arial"/>
          <w:bCs/>
          <w:sz w:val="22"/>
          <w:szCs w:val="22"/>
          <w:lang w:eastAsia="en-US"/>
        </w:rPr>
        <w:t xml:space="preserve">agli animali vivi della specie bovina e suina </w:t>
      </w:r>
      <w:r w:rsidRPr="003C2133">
        <w:rPr>
          <w:rFonts w:ascii="Bookman Old Style" w:hAnsi="Bookman Old Style" w:cs="Arial"/>
          <w:sz w:val="22"/>
          <w:szCs w:val="22"/>
          <w:lang w:eastAsia="en-US"/>
        </w:rPr>
        <w:t xml:space="preserve">può essere definita in misura </w:t>
      </w:r>
      <w:r w:rsidRPr="003C2133">
        <w:rPr>
          <w:rFonts w:ascii="Bookman Old Style" w:hAnsi="Bookman Old Style" w:cs="Arial"/>
          <w:bCs/>
          <w:sz w:val="22"/>
          <w:szCs w:val="22"/>
          <w:lang w:eastAsia="en-US"/>
        </w:rPr>
        <w:t>non superiore rispettivamente al 7,7% e all’8%, rimanendo invariata invece l’aliquota per la cessione di animali vivi della specie ovina e caprina (aliquota del 7,3%).</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i/>
          <w:sz w:val="22"/>
          <w:szCs w:val="22"/>
          <w:lang w:eastAsia="en-US"/>
        </w:rPr>
        <w:t>Percentuali di compensazione</w:t>
      </w:r>
      <w:r w:rsidRPr="003C2133">
        <w:rPr>
          <w:rFonts w:ascii="Bookman Old Style" w:hAnsi="Bookman Old Style" w:cs="Arial"/>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2268"/>
      </w:tblGrid>
      <w:tr w:rsidR="006649DC" w:rsidRPr="003C2133" w:rsidTr="0065205C">
        <w:tc>
          <w:tcPr>
            <w:tcW w:w="5353" w:type="dxa"/>
            <w:vAlign w:val="center"/>
          </w:tcPr>
          <w:p w:rsidR="006649DC" w:rsidRPr="0065205C" w:rsidRDefault="006649DC" w:rsidP="0065205C">
            <w:pPr>
              <w:autoSpaceDE w:val="0"/>
              <w:autoSpaceDN w:val="0"/>
              <w:adjustRightInd w:val="0"/>
              <w:jc w:val="center"/>
              <w:rPr>
                <w:rFonts w:ascii="Bookman Old Style" w:hAnsi="Bookman Old Style" w:cs="Arial"/>
                <w:i/>
                <w:lang w:eastAsia="en-US"/>
              </w:rPr>
            </w:pPr>
            <w:r w:rsidRPr="0065205C">
              <w:rPr>
                <w:rFonts w:ascii="Bookman Old Style" w:hAnsi="Bookman Old Style" w:cs="Arial"/>
                <w:i/>
                <w:lang w:eastAsia="en-US"/>
              </w:rPr>
              <w:t>Specie</w:t>
            </w:r>
          </w:p>
        </w:tc>
        <w:tc>
          <w:tcPr>
            <w:tcW w:w="2126" w:type="dxa"/>
            <w:vAlign w:val="center"/>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i/>
                <w:lang w:eastAsia="en-US"/>
              </w:rPr>
              <w:t>Aliquota anni 2016/2017</w:t>
            </w:r>
            <w:r w:rsidRPr="0065205C">
              <w:rPr>
                <w:rFonts w:ascii="Bookman Old Style" w:hAnsi="Bookman Old Style" w:cs="Arial"/>
                <w:lang w:eastAsia="en-US"/>
              </w:rPr>
              <w:t xml:space="preserve"> (*)</w:t>
            </w:r>
          </w:p>
        </w:tc>
        <w:tc>
          <w:tcPr>
            <w:tcW w:w="2268" w:type="dxa"/>
            <w:vAlign w:val="center"/>
          </w:tcPr>
          <w:p w:rsidR="006649DC" w:rsidRPr="0065205C" w:rsidRDefault="006649DC" w:rsidP="0065205C">
            <w:pPr>
              <w:autoSpaceDE w:val="0"/>
              <w:autoSpaceDN w:val="0"/>
              <w:adjustRightInd w:val="0"/>
              <w:jc w:val="center"/>
              <w:rPr>
                <w:rFonts w:ascii="Bookman Old Style" w:hAnsi="Bookman Old Style" w:cs="Arial"/>
                <w:i/>
                <w:lang w:eastAsia="en-US"/>
              </w:rPr>
            </w:pPr>
            <w:r w:rsidRPr="0065205C">
              <w:rPr>
                <w:rFonts w:ascii="Bookman Old Style" w:hAnsi="Bookman Old Style" w:cs="Arial"/>
                <w:i/>
                <w:lang w:eastAsia="en-US"/>
              </w:rPr>
              <w:t>Aliquota triennio 2018-2020</w:t>
            </w:r>
          </w:p>
        </w:tc>
      </w:tr>
      <w:tr w:rsidR="006649DC" w:rsidRPr="003C2133" w:rsidTr="0065205C">
        <w:tc>
          <w:tcPr>
            <w:tcW w:w="5353" w:type="dxa"/>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Animali vivi della specie bovina</w:t>
            </w:r>
          </w:p>
        </w:tc>
        <w:tc>
          <w:tcPr>
            <w:tcW w:w="2126"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7,65%</w:t>
            </w:r>
          </w:p>
        </w:tc>
        <w:tc>
          <w:tcPr>
            <w:tcW w:w="2268"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Non oltre il 7,7%</w:t>
            </w:r>
          </w:p>
        </w:tc>
      </w:tr>
      <w:tr w:rsidR="006649DC" w:rsidRPr="003C2133" w:rsidTr="0065205C">
        <w:tc>
          <w:tcPr>
            <w:tcW w:w="5353" w:type="dxa"/>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Animali vivi della specie suina</w:t>
            </w:r>
          </w:p>
        </w:tc>
        <w:tc>
          <w:tcPr>
            <w:tcW w:w="2126"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7,95%</w:t>
            </w:r>
          </w:p>
        </w:tc>
        <w:tc>
          <w:tcPr>
            <w:tcW w:w="2268"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Non oltre l’ 8%</w:t>
            </w:r>
          </w:p>
        </w:tc>
      </w:tr>
      <w:tr w:rsidR="006649DC" w:rsidRPr="003C2133" w:rsidTr="0065205C">
        <w:tc>
          <w:tcPr>
            <w:tcW w:w="5353" w:type="dxa"/>
          </w:tcPr>
          <w:p w:rsidR="006649DC" w:rsidRPr="0065205C" w:rsidRDefault="006649DC" w:rsidP="0065205C">
            <w:pPr>
              <w:autoSpaceDE w:val="0"/>
              <w:autoSpaceDN w:val="0"/>
              <w:adjustRightInd w:val="0"/>
              <w:jc w:val="both"/>
              <w:rPr>
                <w:rFonts w:ascii="Bookman Old Style" w:hAnsi="Bookman Old Style" w:cs="Arial"/>
                <w:lang w:eastAsia="en-US"/>
              </w:rPr>
            </w:pPr>
            <w:r w:rsidRPr="0065205C">
              <w:rPr>
                <w:rFonts w:ascii="Bookman Old Style" w:hAnsi="Bookman Old Style" w:cs="Arial"/>
                <w:lang w:eastAsia="en-US"/>
              </w:rPr>
              <w:t>Prodotti (alcuni) del settore lattiero-caseario (**)</w:t>
            </w:r>
          </w:p>
        </w:tc>
        <w:tc>
          <w:tcPr>
            <w:tcW w:w="2126"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10%</w:t>
            </w:r>
          </w:p>
        </w:tc>
        <w:tc>
          <w:tcPr>
            <w:tcW w:w="2268" w:type="dxa"/>
          </w:tcPr>
          <w:p w:rsidR="006649DC" w:rsidRPr="0065205C" w:rsidRDefault="006649DC" w:rsidP="0065205C">
            <w:pPr>
              <w:autoSpaceDE w:val="0"/>
              <w:autoSpaceDN w:val="0"/>
              <w:adjustRightInd w:val="0"/>
              <w:jc w:val="center"/>
              <w:rPr>
                <w:rFonts w:ascii="Bookman Old Style" w:hAnsi="Bookman Old Style" w:cs="Arial"/>
                <w:lang w:eastAsia="en-US"/>
              </w:rPr>
            </w:pPr>
            <w:r w:rsidRPr="0065205C">
              <w:rPr>
                <w:rFonts w:ascii="Bookman Old Style" w:hAnsi="Bookman Old Style" w:cs="Arial"/>
                <w:lang w:eastAsia="en-US"/>
              </w:rPr>
              <w:t>invariata</w:t>
            </w:r>
          </w:p>
        </w:tc>
      </w:tr>
    </w:tbl>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 </w:t>
      </w:r>
      <w:r w:rsidRPr="003C2133">
        <w:rPr>
          <w:rFonts w:ascii="Bookman Old Style" w:hAnsi="Bookman Old Style" w:cs="Arial"/>
          <w:sz w:val="18"/>
          <w:szCs w:val="18"/>
          <w:lang w:eastAsia="en-US"/>
        </w:rPr>
        <w:t>Si veda l’art. 1, co. 2, D.M. 26.1.2016, modificato dal D.M. 27.1.2017 sulla base della possibilità di effettuare aumenti ammessa dall’art. 1, co. 908, L. 208/2015 e dall’art. 1, co. 45, L. 232/2016</w:t>
      </w:r>
      <w:r w:rsidRPr="003C2133">
        <w:rPr>
          <w:rFonts w:ascii="Bookman Old Style" w:hAnsi="Bookman Old Style" w:cs="Arial"/>
          <w:sz w:val="22"/>
          <w:szCs w:val="22"/>
          <w:lang w:eastAsia="en-US"/>
        </w:rPr>
        <w:t>.</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 </w:t>
      </w:r>
      <w:r w:rsidRPr="003C2133">
        <w:rPr>
          <w:rFonts w:ascii="Bookman Old Style" w:hAnsi="Bookman Old Style" w:cs="Arial"/>
          <w:sz w:val="18"/>
          <w:szCs w:val="18"/>
          <w:lang w:eastAsia="en-US"/>
        </w:rPr>
        <w:t>Si veda l’art. 1, co. 1, D.M. 26.1.2016, per: a) il latte fresco (non concentrato né zuccherato e non condizionato per la vendita al minuto), esclusi yogurt, kephir, latte cagliato, siero di latte, latticello (o latte battuto) e altri tipi di latte fermentati o acidificati; b) altri prodotti compresi nel n. 9) della Tabella A, Parte I, allegata al D.P.R. 633/1972, escluso il latte fresco non concentrato né zuccherato, destinato al consumo alimentare, confezionato per la vendita al minuto, sottoposto a pastorizzazione o ad altri trattamenti previsti da leggi sanitarie.</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p>
    <w:p w:rsidR="006649DC" w:rsidRPr="00563908" w:rsidRDefault="006649DC" w:rsidP="003C2133">
      <w:pPr>
        <w:autoSpaceDE w:val="0"/>
        <w:autoSpaceDN w:val="0"/>
        <w:adjustRightInd w:val="0"/>
        <w:jc w:val="both"/>
        <w:rPr>
          <w:rFonts w:ascii="Bookman Old Style" w:hAnsi="Bookman Old Style" w:cs="Arial"/>
          <w:bCs/>
          <w:i/>
          <w:sz w:val="22"/>
          <w:szCs w:val="22"/>
          <w:lang w:eastAsia="en-US"/>
        </w:rPr>
      </w:pPr>
      <w:r w:rsidRPr="00563908">
        <w:rPr>
          <w:rFonts w:ascii="Bookman Old Style" w:hAnsi="Bookman Old Style" w:cs="Arial"/>
          <w:bCs/>
          <w:i/>
          <w:sz w:val="22"/>
          <w:szCs w:val="22"/>
          <w:lang w:eastAsia="en-US"/>
        </w:rPr>
        <w:t>Regime applicabile all’attivita’ di enoturismo</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I co. da 502 a 505, L. 205/2017 stabiliscono un regime speciale per l’attività di enoturismo.</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Secondo la norma, con il termine «enoturismo» si intendono tutte le  attività di conoscenza del vino espletate nel luogo di produzione,  le  visite nei luoghi di coltura, di produzione o di esposizione degli strumenti utili  alla  coltivazione  della   vite,   la   degustazione   e   la commercializzazione delle produzioni  vinicole  aziendali,  anche  in abbinamento ad  alimenti,  le  iniziative  a  carattere  didattico  e ricreativo nell'ambito delle cantine. Inoltre, con decreto del Ministro delle politiche agricole alimentari e forestali, di concerto con il Ministro dei  beni  e  delle  attività culturali  e  del  turismo,  adottato  d'intesa  con  la   Conferenza permanente per i rapporti tra lo Stato,  le  regioni  e  le  province autonome di  Trento  e  di  Bolzano,  sono  definiti  linee  guida  e indirizzi in merito ai requisiti e agli standard minimi di  qualità, con  particolare  riferimento  alle   produzioni   vitivinicole   del territorio, per l'esercizio dell'attività enoturistica.</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La Legge di bilancio 2018 prevede che per lo svolgimento dell’attività di enoturismo si applica – limitatamente ai coloro che sono qualificabili come “produttori agricoli” di cui agli artt. 295 e segg., Dir. 2006/112/CE - il regime forfettario di detrazione IVA previsto dall’art. 5, co. 2, L. 413/1991 (ossia il medesimo regime previsto per le attività di agriturismo di cui alla L. 730/1985).</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In breve, l’IVA dovuta viene determinata riducendo l’imposta dovuta sulle operazioni imponibili di un importo pari al 50% del medesimo ammontare.</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La Legge di bilancio 2018 introduce, per dette attività, anche un regime forfettario per la determinazione del reddito. </w:t>
      </w:r>
    </w:p>
    <w:p w:rsidR="006649DC" w:rsidRDefault="006649DC" w:rsidP="003C2133">
      <w:pPr>
        <w:autoSpaceDE w:val="0"/>
        <w:autoSpaceDN w:val="0"/>
        <w:adjustRightInd w:val="0"/>
        <w:jc w:val="both"/>
        <w:rPr>
          <w:rFonts w:ascii="Bookman Old Style" w:hAnsi="Bookman Old Style" w:cs="Arial"/>
          <w:sz w:val="22"/>
          <w:szCs w:val="22"/>
          <w:lang w:eastAsia="en-US"/>
        </w:rPr>
      </w:pPr>
    </w:p>
    <w:p w:rsidR="006649DC" w:rsidRPr="003C2133" w:rsidRDefault="006649DC" w:rsidP="003C2133">
      <w:pPr>
        <w:autoSpaceDE w:val="0"/>
        <w:autoSpaceDN w:val="0"/>
        <w:adjustRightInd w:val="0"/>
        <w:jc w:val="both"/>
        <w:rPr>
          <w:rFonts w:ascii="Bookman Old Style" w:hAnsi="Bookman Old Style" w:cs="Arial"/>
          <w:bCs/>
          <w:i/>
          <w:sz w:val="22"/>
          <w:szCs w:val="22"/>
          <w:lang w:eastAsia="en-US"/>
        </w:rPr>
      </w:pPr>
      <w:r w:rsidRPr="003C2133">
        <w:rPr>
          <w:rFonts w:ascii="Bookman Old Style" w:hAnsi="Bookman Old Style" w:cs="Arial"/>
          <w:bCs/>
          <w:i/>
          <w:sz w:val="22"/>
          <w:szCs w:val="22"/>
          <w:lang w:eastAsia="en-US"/>
        </w:rPr>
        <w:t>Errata applicazione dell’aliquota iva</w:t>
      </w:r>
    </w:p>
    <w:p w:rsidR="006649DC" w:rsidRDefault="006649DC" w:rsidP="003C2133">
      <w:pPr>
        <w:autoSpaceDE w:val="0"/>
        <w:autoSpaceDN w:val="0"/>
        <w:adjustRightInd w:val="0"/>
        <w:jc w:val="both"/>
        <w:rPr>
          <w:rFonts w:ascii="Bookman Old Style" w:hAnsi="Bookman Old Style" w:cs="Arial"/>
          <w:sz w:val="22"/>
          <w:szCs w:val="22"/>
          <w:lang w:eastAsia="en-US"/>
        </w:rPr>
      </w:pPr>
      <w:r w:rsidRPr="00600F55">
        <w:rPr>
          <w:rFonts w:ascii="Bookman Old Style" w:hAnsi="Bookman Old Style" w:cs="Arial"/>
          <w:sz w:val="22"/>
          <w:szCs w:val="22"/>
          <w:lang w:eastAsia="en-US"/>
        </w:rPr>
        <w:t>I</w:t>
      </w:r>
      <w:r>
        <w:rPr>
          <w:rFonts w:ascii="Bookman Old Style" w:hAnsi="Bookman Old Style" w:cs="Arial"/>
          <w:sz w:val="22"/>
          <w:szCs w:val="22"/>
          <w:lang w:eastAsia="en-US"/>
        </w:rPr>
        <w:t xml:space="preserve">l co. 935, L. 205/2017 integra </w:t>
      </w:r>
      <w:r w:rsidRPr="00600F55">
        <w:rPr>
          <w:rFonts w:ascii="Bookman Old Style" w:hAnsi="Bookman Old Style" w:cs="Arial"/>
          <w:sz w:val="22"/>
          <w:szCs w:val="22"/>
          <w:lang w:eastAsia="en-US"/>
        </w:rPr>
        <w:t xml:space="preserve">l’art. 6, </w:t>
      </w:r>
      <w:r>
        <w:rPr>
          <w:rFonts w:ascii="Bookman Old Style" w:hAnsi="Bookman Old Style" w:cs="Arial"/>
          <w:sz w:val="22"/>
          <w:szCs w:val="22"/>
          <w:lang w:eastAsia="en-US"/>
        </w:rPr>
        <w:t>co.</w:t>
      </w:r>
      <w:r w:rsidRPr="00600F55">
        <w:rPr>
          <w:rFonts w:ascii="Bookman Old Style" w:hAnsi="Bookman Old Style" w:cs="Arial"/>
          <w:sz w:val="22"/>
          <w:szCs w:val="22"/>
          <w:lang w:eastAsia="en-US"/>
        </w:rPr>
        <w:t xml:space="preserve"> 6, D.Lgs. n. 471/</w:t>
      </w:r>
      <w:r>
        <w:rPr>
          <w:rFonts w:ascii="Bookman Old Style" w:hAnsi="Bookman Old Style" w:cs="Arial"/>
          <w:sz w:val="22"/>
          <w:szCs w:val="22"/>
          <w:lang w:eastAsia="en-US"/>
        </w:rPr>
        <w:t>19</w:t>
      </w:r>
      <w:r w:rsidRPr="00600F55">
        <w:rPr>
          <w:rFonts w:ascii="Bookman Old Style" w:hAnsi="Bookman Old Style" w:cs="Arial"/>
          <w:sz w:val="22"/>
          <w:szCs w:val="22"/>
          <w:lang w:eastAsia="en-US"/>
        </w:rPr>
        <w:t>97</w:t>
      </w:r>
      <w:r>
        <w:rPr>
          <w:rFonts w:ascii="Bookman Old Style" w:hAnsi="Bookman Old Style" w:cs="Arial"/>
          <w:sz w:val="22"/>
          <w:szCs w:val="22"/>
          <w:lang w:eastAsia="en-US"/>
        </w:rPr>
        <w:t xml:space="preserve"> stabilendo che, in caso di:</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 </w:t>
      </w:r>
      <w:r w:rsidRPr="003C2133">
        <w:rPr>
          <w:rFonts w:ascii="Bookman Old Style" w:hAnsi="Bookman Old Style" w:cs="Arial"/>
          <w:bCs/>
          <w:sz w:val="22"/>
          <w:szCs w:val="22"/>
          <w:lang w:eastAsia="en-US"/>
        </w:rPr>
        <w:t>applicazione dell’IVA in misura superiore a quella effettiva</w:t>
      </w:r>
      <w:r w:rsidRPr="003C2133">
        <w:rPr>
          <w:rFonts w:ascii="Bookman Old Style" w:hAnsi="Bookman Old Style" w:cs="Arial"/>
          <w:sz w:val="22"/>
          <w:szCs w:val="22"/>
          <w:lang w:eastAsia="en-US"/>
        </w:rPr>
        <w:t xml:space="preserve">mente dovuta (es. fatturazione con aliquota superiore a quella corretta ovvero fatturazione con IVA di operazioni esenti o non imponibili. E’ estranea alla fattispecie in esame l’ipotesi in cui l’operazione viene fatturata con IVA in luogo dell’applicazione del </w:t>
      </w:r>
      <w:r w:rsidRPr="003C2133">
        <w:rPr>
          <w:rFonts w:ascii="Bookman Old Style" w:hAnsi="Bookman Old Style" w:cs="Arial"/>
          <w:i/>
          <w:sz w:val="22"/>
          <w:szCs w:val="22"/>
          <w:lang w:eastAsia="en-US"/>
        </w:rPr>
        <w:t>reverse charge</w:t>
      </w:r>
      <w:r w:rsidRPr="003C2133">
        <w:rPr>
          <w:rFonts w:ascii="Bookman Old Style" w:hAnsi="Bookman Old Style" w:cs="Arial"/>
          <w:sz w:val="22"/>
          <w:szCs w:val="22"/>
          <w:lang w:eastAsia="en-US"/>
        </w:rPr>
        <w:t>, in quanto in tal caso si applicano le specifiche disposizioni dei co. 9-bis dell’art. 6, D.Lgs. 471/1997, come pure estranea è l’ipotesi della indebita detrazione per carenza del requisito di afferenza di cui all’art. 19, co. 2, D.P.R. 633/1972 o per indetraibilità oggettiva di cui all’art. 19-bis1 del medesimo D.P.R. o per indetraibilità soggettiva, come ad esempio per applicazione del pro-rata di cui all’art. 19-bis, D.P.R. 633/1972);</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xml:space="preserve">- erroneamente assolta dal cedente o prestatore. Per comprendere il concetto di imposta “assolta” potremmo rifarci al concetto espresso dalla C.M. 11.5.2017, n. 16/E, par. 3 in tema di </w:t>
      </w:r>
      <w:r w:rsidRPr="003C2133">
        <w:rPr>
          <w:rFonts w:ascii="Bookman Old Style" w:hAnsi="Bookman Old Style" w:cs="Arial"/>
          <w:i/>
          <w:sz w:val="22"/>
          <w:szCs w:val="22"/>
          <w:lang w:eastAsia="en-US"/>
        </w:rPr>
        <w:t>reverse charge</w:t>
      </w:r>
      <w:r w:rsidRPr="003C2133">
        <w:rPr>
          <w:rFonts w:ascii="Bookman Old Style" w:hAnsi="Bookman Old Style" w:cs="Arial"/>
          <w:sz w:val="22"/>
          <w:szCs w:val="22"/>
          <w:lang w:eastAsia="en-US"/>
        </w:rPr>
        <w:t xml:space="preserve"> e Iva assolta – da una delle parti - in modo erroneo. Secondo il documento di prassi, per assolvimento del tributo ad opera del cedente/prestatore si intende “</w:t>
      </w:r>
      <w:r w:rsidRPr="003C2133">
        <w:rPr>
          <w:rFonts w:ascii="Bookman Old Style" w:hAnsi="Bookman Old Style" w:cs="Arial"/>
          <w:i/>
          <w:sz w:val="22"/>
          <w:szCs w:val="22"/>
          <w:lang w:eastAsia="en-US"/>
        </w:rPr>
        <w:t>l’avvenuta registrazione, ci cui all’articolo 23 del d.P.R. n. 633 del 1972, con conseguente confluenza nella liquidazione di competenza</w:t>
      </w:r>
      <w:r w:rsidRPr="003C2133">
        <w:rPr>
          <w:rFonts w:ascii="Bookman Old Style" w:hAnsi="Bookman Old Style" w:cs="Arial"/>
          <w:sz w:val="22"/>
          <w:szCs w:val="22"/>
          <w:lang w:eastAsia="en-US"/>
        </w:rPr>
        <w:t>”;</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sz w:val="22"/>
          <w:szCs w:val="22"/>
          <w:lang w:eastAsia="en-US"/>
        </w:rPr>
        <w:t>- resta fermo il diritto alla detrazione in capo all’acquirente/committente;</w:t>
      </w:r>
    </w:p>
    <w:p w:rsidR="006649DC" w:rsidRPr="003C2133" w:rsidRDefault="006649DC" w:rsidP="003C2133">
      <w:pPr>
        <w:autoSpaceDE w:val="0"/>
        <w:autoSpaceDN w:val="0"/>
        <w:adjustRightInd w:val="0"/>
        <w:jc w:val="both"/>
        <w:rPr>
          <w:rFonts w:ascii="Bookman Old Style" w:hAnsi="Bookman Old Style" w:cs="Arial"/>
          <w:bCs/>
          <w:sz w:val="22"/>
          <w:szCs w:val="22"/>
          <w:lang w:eastAsia="en-US"/>
        </w:rPr>
      </w:pPr>
      <w:r w:rsidRPr="003C2133">
        <w:rPr>
          <w:rFonts w:ascii="Bookman Old Style" w:hAnsi="Bookman Old Style" w:cs="Arial"/>
          <w:sz w:val="22"/>
          <w:szCs w:val="22"/>
          <w:lang w:eastAsia="en-US"/>
        </w:rPr>
        <w:t xml:space="preserve">- ma a quest’ultimo è applicabile la </w:t>
      </w:r>
      <w:r w:rsidRPr="003C2133">
        <w:rPr>
          <w:rFonts w:ascii="Bookman Old Style" w:hAnsi="Bookman Old Style" w:cs="Arial"/>
          <w:bCs/>
          <w:sz w:val="22"/>
          <w:szCs w:val="22"/>
          <w:lang w:eastAsia="en-US"/>
        </w:rPr>
        <w:t>sanzione da 250 euro a 10.000 euro;</w:t>
      </w:r>
    </w:p>
    <w:p w:rsidR="006649DC" w:rsidRPr="003C2133" w:rsidRDefault="006649DC" w:rsidP="003C2133">
      <w:pPr>
        <w:autoSpaceDE w:val="0"/>
        <w:autoSpaceDN w:val="0"/>
        <w:adjustRightInd w:val="0"/>
        <w:jc w:val="both"/>
        <w:rPr>
          <w:rFonts w:ascii="Bookman Old Style" w:hAnsi="Bookman Old Style" w:cs="Arial"/>
          <w:sz w:val="22"/>
          <w:szCs w:val="22"/>
          <w:lang w:eastAsia="en-US"/>
        </w:rPr>
      </w:pPr>
      <w:r w:rsidRPr="003C2133">
        <w:rPr>
          <w:rFonts w:ascii="Bookman Old Style" w:hAnsi="Bookman Old Style" w:cs="Arial"/>
          <w:bCs/>
          <w:sz w:val="22"/>
          <w:szCs w:val="22"/>
          <w:lang w:eastAsia="en-US"/>
        </w:rPr>
        <w:t>- l</w:t>
      </w:r>
      <w:r w:rsidRPr="003C2133">
        <w:rPr>
          <w:rFonts w:ascii="Bookman Old Style" w:hAnsi="Bookman Old Style" w:cs="Arial"/>
          <w:sz w:val="22"/>
          <w:szCs w:val="22"/>
          <w:lang w:eastAsia="en-US"/>
        </w:rPr>
        <w:t>a restituzione dell’imposta è esclusa qualora il versamento sia stato effettuato in un contesto di frode fiscale.</w:t>
      </w:r>
    </w:p>
    <w:p w:rsidR="006649DC" w:rsidRPr="003C2133" w:rsidRDefault="006649DC" w:rsidP="003C2133">
      <w:pPr>
        <w:autoSpaceDE w:val="0"/>
        <w:autoSpaceDN w:val="0"/>
        <w:adjustRightInd w:val="0"/>
        <w:jc w:val="both"/>
        <w:rPr>
          <w:rFonts w:ascii="Bookman Old Style" w:hAnsi="Bookman Old Style" w:cs="Arial"/>
          <w:color w:val="000000"/>
          <w:sz w:val="22"/>
          <w:szCs w:val="22"/>
          <w:lang w:eastAsia="en-US"/>
        </w:rPr>
      </w:pPr>
      <w:r w:rsidRPr="003C2133">
        <w:rPr>
          <w:rFonts w:ascii="Bookman Old Style" w:hAnsi="Bookman Old Style" w:cs="Arial"/>
          <w:color w:val="000000"/>
          <w:sz w:val="22"/>
          <w:szCs w:val="22"/>
          <w:lang w:eastAsia="en-US"/>
        </w:rPr>
        <w:t>L’intervento va accolto con favore, in quanto prima della disposizione in commento nei confronti del cessionario/committente che avesse detratto indebitamente un’Iva erroneamente applicata avrebbe subito conseguenze ben più gravose rispetto alla sanzione in misura fissa appena introdotta.</w:t>
      </w:r>
    </w:p>
    <w:p w:rsidR="006649DC" w:rsidRDefault="006649DC" w:rsidP="003C2133">
      <w:pPr>
        <w:autoSpaceDE w:val="0"/>
        <w:autoSpaceDN w:val="0"/>
        <w:adjustRightInd w:val="0"/>
        <w:jc w:val="both"/>
        <w:rPr>
          <w:rFonts w:ascii="Bookman Old Style" w:hAnsi="Bookman Old Style" w:cs="Arial"/>
          <w:color w:val="000000"/>
          <w:sz w:val="22"/>
          <w:szCs w:val="22"/>
          <w:lang w:eastAsia="en-US"/>
        </w:rPr>
      </w:pPr>
      <w:r w:rsidRPr="003C2133">
        <w:rPr>
          <w:rFonts w:ascii="Bookman Old Style" w:hAnsi="Bookman Old Style" w:cs="Arial"/>
          <w:color w:val="000000"/>
          <w:sz w:val="22"/>
          <w:szCs w:val="22"/>
          <w:lang w:eastAsia="en-US"/>
        </w:rPr>
        <w:t>In particolare, in precedenza, al cessionario</w:t>
      </w:r>
      <w:r>
        <w:rPr>
          <w:rFonts w:ascii="Bookman Old Style" w:hAnsi="Bookman Old Style" w:cs="Arial"/>
          <w:color w:val="000000"/>
          <w:sz w:val="22"/>
          <w:szCs w:val="22"/>
          <w:lang w:eastAsia="en-US"/>
        </w:rPr>
        <w:t>/committente veniva:</w:t>
      </w:r>
    </w:p>
    <w:p w:rsidR="006649DC" w:rsidRDefault="006649DC" w:rsidP="003C2133">
      <w:pPr>
        <w:autoSpaceDE w:val="0"/>
        <w:autoSpaceDN w:val="0"/>
        <w:adjustRightInd w:val="0"/>
        <w:jc w:val="both"/>
        <w:rPr>
          <w:rFonts w:ascii="Bookman Old Style" w:hAnsi="Bookman Old Style" w:cs="Arial"/>
          <w:color w:val="000000"/>
          <w:sz w:val="22"/>
          <w:szCs w:val="22"/>
          <w:lang w:eastAsia="en-US"/>
        </w:rPr>
      </w:pPr>
      <w:r>
        <w:rPr>
          <w:rFonts w:ascii="Bookman Old Style" w:hAnsi="Bookman Old Style" w:cs="Arial"/>
          <w:color w:val="000000"/>
          <w:sz w:val="22"/>
          <w:szCs w:val="22"/>
          <w:lang w:eastAsia="en-US"/>
        </w:rPr>
        <w:t xml:space="preserve">- disconosciuto il diritto alla detrazione operata (in armonia all’indirizzo di prassi e giurisprudenziale; </w:t>
      </w:r>
      <w:r w:rsidRPr="000F7FC7">
        <w:rPr>
          <w:rFonts w:ascii="Bookman Old Style" w:hAnsi="Bookman Old Style" w:cs="Arial"/>
          <w:i/>
          <w:color w:val="000000"/>
          <w:sz w:val="22"/>
          <w:szCs w:val="22"/>
          <w:lang w:eastAsia="en-US"/>
        </w:rPr>
        <w:t>cfr</w:t>
      </w:r>
      <w:r>
        <w:rPr>
          <w:rFonts w:ascii="Bookman Old Style" w:hAnsi="Bookman Old Style" w:cs="Arial"/>
          <w:color w:val="000000"/>
          <w:sz w:val="22"/>
          <w:szCs w:val="22"/>
          <w:lang w:eastAsia="en-US"/>
        </w:rPr>
        <w:t>. C.M. 13.3.</w:t>
      </w:r>
      <w:r w:rsidRPr="00A50090">
        <w:rPr>
          <w:rFonts w:ascii="Bookman Old Style" w:hAnsi="Bookman Old Style" w:cs="Arial"/>
          <w:color w:val="000000"/>
          <w:sz w:val="22"/>
          <w:szCs w:val="22"/>
          <w:lang w:eastAsia="en-US"/>
        </w:rPr>
        <w:t>2009, n. 8/E</w:t>
      </w:r>
      <w:r>
        <w:rPr>
          <w:rFonts w:ascii="Bookman Old Style" w:hAnsi="Bookman Old Style" w:cs="Arial"/>
          <w:color w:val="000000"/>
          <w:sz w:val="22"/>
          <w:szCs w:val="22"/>
          <w:lang w:eastAsia="en-US"/>
        </w:rPr>
        <w:t>, risp.</w:t>
      </w:r>
      <w:r w:rsidRPr="00A50090">
        <w:rPr>
          <w:rFonts w:ascii="Bookman Old Style" w:hAnsi="Bookman Old Style" w:cs="Arial"/>
          <w:color w:val="000000"/>
          <w:sz w:val="22"/>
          <w:szCs w:val="22"/>
          <w:lang w:eastAsia="en-US"/>
        </w:rPr>
        <w:t xml:space="preserve"> 6.9</w:t>
      </w:r>
      <w:r>
        <w:rPr>
          <w:rFonts w:ascii="Bookman Old Style" w:hAnsi="Bookman Old Style" w:cs="Arial"/>
          <w:color w:val="000000"/>
          <w:sz w:val="22"/>
          <w:szCs w:val="22"/>
          <w:lang w:eastAsia="en-US"/>
        </w:rPr>
        <w:t xml:space="preserve">; Corte di Giustizia Ue, sent. 31.1.2013, in causa C-642/11; Cass. 26.8.2015, n. 17173; </w:t>
      </w:r>
      <w:r w:rsidRPr="00A50090">
        <w:rPr>
          <w:rFonts w:ascii="Bookman Old Style" w:hAnsi="Bookman Old Style" w:cs="Arial"/>
          <w:color w:val="000000"/>
          <w:sz w:val="22"/>
          <w:szCs w:val="22"/>
          <w:lang w:eastAsia="en-US"/>
        </w:rPr>
        <w:t>Cass. 5.9.2014, n. 18764</w:t>
      </w:r>
      <w:r>
        <w:rPr>
          <w:rFonts w:ascii="Bookman Old Style" w:hAnsi="Bookman Old Style" w:cs="Arial"/>
          <w:color w:val="000000"/>
          <w:sz w:val="22"/>
          <w:szCs w:val="22"/>
          <w:lang w:eastAsia="en-US"/>
        </w:rPr>
        <w:t xml:space="preserve">; </w:t>
      </w:r>
      <w:r w:rsidRPr="00A50090">
        <w:rPr>
          <w:rFonts w:ascii="Bookman Old Style" w:hAnsi="Bookman Old Style" w:cs="Arial"/>
          <w:color w:val="000000"/>
          <w:sz w:val="22"/>
          <w:szCs w:val="22"/>
          <w:lang w:eastAsia="en-US"/>
        </w:rPr>
        <w:t>Cass. 2.7.2014, n. 15178</w:t>
      </w:r>
      <w:r>
        <w:rPr>
          <w:rFonts w:ascii="Bookman Old Style" w:hAnsi="Bookman Old Style" w:cs="Arial"/>
          <w:color w:val="000000"/>
          <w:sz w:val="22"/>
          <w:szCs w:val="22"/>
          <w:lang w:eastAsia="en-US"/>
        </w:rPr>
        <w:t>; Cass. 24.1.2013, n. 1669);</w:t>
      </w:r>
    </w:p>
    <w:p w:rsidR="006649DC" w:rsidRDefault="006649DC" w:rsidP="003C2133">
      <w:pPr>
        <w:autoSpaceDE w:val="0"/>
        <w:autoSpaceDN w:val="0"/>
        <w:adjustRightInd w:val="0"/>
        <w:jc w:val="both"/>
        <w:rPr>
          <w:rFonts w:ascii="Bookman Old Style" w:hAnsi="Bookman Old Style" w:cs="Arial"/>
          <w:color w:val="000000"/>
          <w:sz w:val="22"/>
          <w:szCs w:val="22"/>
          <w:lang w:eastAsia="en-US"/>
        </w:rPr>
      </w:pPr>
      <w:r>
        <w:rPr>
          <w:rFonts w:ascii="Bookman Old Style" w:hAnsi="Bookman Old Style" w:cs="Arial"/>
          <w:color w:val="000000"/>
          <w:sz w:val="22"/>
          <w:szCs w:val="22"/>
          <w:lang w:eastAsia="en-US"/>
        </w:rPr>
        <w:t>- irrogata la sanzione amministrativa del 90% per indebita detrazione (secondo il precedente testo dell’art. 6, co. 6, D.Lgs. 471/1997) e, se l’errore avesse comportato anche la presentazione di una infedele dichiarazione, sarebbe stata irrogata anche la sanzione di cui all’art. 5, D.Lgs. 471/1997;</w:t>
      </w:r>
    </w:p>
    <w:p w:rsidR="006649DC" w:rsidRPr="003C2133" w:rsidRDefault="006649DC" w:rsidP="003C2133">
      <w:pPr>
        <w:autoSpaceDE w:val="0"/>
        <w:autoSpaceDN w:val="0"/>
        <w:adjustRightInd w:val="0"/>
        <w:jc w:val="both"/>
        <w:rPr>
          <w:rFonts w:ascii="Bookman Old Style" w:hAnsi="Bookman Old Style" w:cs="Arial"/>
          <w:color w:val="000000"/>
          <w:sz w:val="22"/>
          <w:szCs w:val="22"/>
          <w:lang w:eastAsia="en-US"/>
        </w:rPr>
      </w:pPr>
      <w:r>
        <w:rPr>
          <w:rFonts w:ascii="Bookman Old Style" w:hAnsi="Bookman Old Style" w:cs="Arial"/>
          <w:color w:val="000000"/>
          <w:sz w:val="22"/>
          <w:szCs w:val="22"/>
          <w:lang w:eastAsia="en-US"/>
        </w:rPr>
        <w:t xml:space="preserve">- richiesto di rivalersi sul cedente/prestatore per il recupero dell’IVA indebitamente addebitatagli, con causa di natura civile (Cass. 2.7.2014, n. 15178 e Cass. 14.3.2012, n. 4020), nel presupposto che solo l’emittente la fattura avrebbe potuto recuperare l’imposta dall’Erario (R.M. 4.3.2013, n. 15/E; Cass. 20.7.2012, n. 12666; Cass. 15.3.2013, n. 6605), non sussistendo </w:t>
      </w:r>
      <w:r w:rsidRPr="00632E0B">
        <w:rPr>
          <w:rFonts w:ascii="Bookman Old Style" w:hAnsi="Bookman Old Style" w:cs="Arial"/>
          <w:color w:val="000000"/>
          <w:sz w:val="22"/>
          <w:szCs w:val="22"/>
          <w:lang w:eastAsia="en-US"/>
        </w:rPr>
        <w:t xml:space="preserve">alcun rapporto tributario tra il cessionario e il Fisco (Cass., SS.UU., 12.7.2010, n. 16281; Cass., SS.UU., 4.2.2008, n. 2509; Corte di Giustizia Ue, 15.3.2007, </w:t>
      </w:r>
      <w:r>
        <w:rPr>
          <w:rFonts w:ascii="Bookman Old Style" w:hAnsi="Bookman Old Style" w:cs="Arial"/>
          <w:color w:val="000000"/>
          <w:sz w:val="22"/>
          <w:szCs w:val="22"/>
          <w:lang w:eastAsia="en-US"/>
        </w:rPr>
        <w:t xml:space="preserve">in </w:t>
      </w:r>
      <w:r w:rsidRPr="00632E0B">
        <w:rPr>
          <w:rFonts w:ascii="Bookman Old Style" w:hAnsi="Bookman Old Style" w:cs="Arial"/>
          <w:color w:val="000000"/>
          <w:sz w:val="22"/>
          <w:szCs w:val="22"/>
          <w:lang w:eastAsia="en-US"/>
        </w:rPr>
        <w:t xml:space="preserve">causa C-35/05, </w:t>
      </w:r>
      <w:r w:rsidRPr="00632E0B">
        <w:rPr>
          <w:rFonts w:ascii="Bookman Old Style" w:hAnsi="Bookman Old Style" w:cs="Arial"/>
          <w:i/>
          <w:color w:val="000000"/>
          <w:sz w:val="22"/>
          <w:szCs w:val="22"/>
          <w:lang w:eastAsia="en-US"/>
        </w:rPr>
        <w:t>Reemtsma Cigarettenfabriken</w:t>
      </w:r>
      <w:r>
        <w:rPr>
          <w:rFonts w:ascii="Bookman Old Style" w:hAnsi="Bookman Old Style" w:cs="Arial"/>
          <w:color w:val="000000"/>
          <w:sz w:val="22"/>
          <w:szCs w:val="22"/>
          <w:lang w:eastAsia="en-US"/>
        </w:rPr>
        <w:t xml:space="preserve">; un orientamento differente è espresso da </w:t>
      </w:r>
      <w:r w:rsidRPr="003C2133">
        <w:rPr>
          <w:rFonts w:ascii="Bookman Old Style" w:hAnsi="Bookman Old Style" w:cs="Arial"/>
          <w:color w:val="000000"/>
          <w:sz w:val="22"/>
          <w:szCs w:val="22"/>
          <w:lang w:eastAsia="en-US"/>
        </w:rPr>
        <w:t>Cass. 6.12.2016, n. 24923).</w:t>
      </w:r>
    </w:p>
    <w:p w:rsidR="006649DC" w:rsidRPr="003C2133" w:rsidRDefault="006649DC" w:rsidP="003C2133">
      <w:pPr>
        <w:autoSpaceDE w:val="0"/>
        <w:autoSpaceDN w:val="0"/>
        <w:adjustRightInd w:val="0"/>
        <w:jc w:val="both"/>
        <w:rPr>
          <w:rFonts w:ascii="Bookman Old Style" w:hAnsi="Bookman Old Style" w:cs="Arial"/>
          <w:color w:val="000000"/>
          <w:sz w:val="22"/>
          <w:szCs w:val="22"/>
          <w:lang w:eastAsia="en-US"/>
        </w:rPr>
      </w:pPr>
      <w:r w:rsidRPr="003C2133">
        <w:rPr>
          <w:rFonts w:ascii="Bookman Old Style" w:hAnsi="Bookman Old Style" w:cs="Arial"/>
          <w:color w:val="000000"/>
          <w:sz w:val="22"/>
          <w:szCs w:val="22"/>
          <w:lang w:eastAsia="en-US"/>
        </w:rPr>
        <w:t>Ora, invece, a seguito della modifica normativa, al cliente è concesso di detrarre l’IVA (nei limiti e nei termini di cui all’art. 19, D.P.R. 633/1972), e quindi non avrà più interesse a ripeterla</w:t>
      </w:r>
      <w:r>
        <w:rPr>
          <w:rFonts w:ascii="Bookman Old Style" w:hAnsi="Bookman Old Style" w:cs="Arial"/>
          <w:color w:val="000000"/>
          <w:sz w:val="22"/>
          <w:szCs w:val="22"/>
          <w:lang w:eastAsia="en-US"/>
        </w:rPr>
        <w:t xml:space="preserve"> al fornitore né l’errore darà luogo a dichiarazione infedele (in quanto il diritto di detrazione è reso fermo dalla norma), e neppure sarà più soggetto alle sanzioni in misura percentuale (ma solo a quella fissa), mentre il fornitore non dovrà </w:t>
      </w:r>
      <w:r w:rsidRPr="003C2133">
        <w:rPr>
          <w:rFonts w:ascii="Bookman Old Style" w:hAnsi="Bookman Old Style" w:cs="Arial"/>
          <w:color w:val="000000"/>
          <w:sz w:val="22"/>
          <w:szCs w:val="22"/>
          <w:lang w:eastAsia="en-US"/>
        </w:rPr>
        <w:t>più chiedere il rimborso all’Erario.</w:t>
      </w:r>
    </w:p>
    <w:p w:rsidR="006649DC" w:rsidRPr="003C2133" w:rsidRDefault="006649DC" w:rsidP="003C2133">
      <w:pPr>
        <w:autoSpaceDE w:val="0"/>
        <w:autoSpaceDN w:val="0"/>
        <w:adjustRightInd w:val="0"/>
        <w:jc w:val="both"/>
        <w:rPr>
          <w:rFonts w:ascii="Bookman Old Style" w:hAnsi="Bookman Old Style" w:cs="Arial"/>
          <w:color w:val="000000"/>
          <w:sz w:val="22"/>
          <w:szCs w:val="22"/>
          <w:lang w:eastAsia="en-US"/>
        </w:rPr>
      </w:pPr>
      <w:r w:rsidRPr="003C2133">
        <w:rPr>
          <w:rFonts w:ascii="Bookman Old Style" w:hAnsi="Bookman Old Style" w:cs="Arial"/>
          <w:color w:val="000000"/>
          <w:sz w:val="22"/>
          <w:szCs w:val="22"/>
          <w:lang w:eastAsia="en-US"/>
        </w:rPr>
        <w:t>La novella legislativa deve essere coordinata con l’art. 30-ter, D.P.R. 633/1972, introdotto dalla L. 20.11.2017, n. 167 (Legge europea 2017), in vigore dal 12.12.2017.</w:t>
      </w:r>
    </w:p>
    <w:p w:rsidR="006649DC" w:rsidRPr="003C2133" w:rsidRDefault="006649DC" w:rsidP="003C2133">
      <w:pPr>
        <w:autoSpaceDE w:val="0"/>
        <w:autoSpaceDN w:val="0"/>
        <w:adjustRightInd w:val="0"/>
        <w:jc w:val="both"/>
        <w:rPr>
          <w:rFonts w:ascii="Bookman Old Style" w:hAnsi="Bookman Old Style"/>
          <w:color w:val="454545"/>
          <w:sz w:val="22"/>
          <w:szCs w:val="22"/>
        </w:rPr>
      </w:pPr>
      <w:r w:rsidRPr="003C2133">
        <w:rPr>
          <w:rFonts w:ascii="Bookman Old Style" w:hAnsi="Bookman Old Style" w:cs="Arial"/>
          <w:color w:val="000000"/>
          <w:sz w:val="22"/>
          <w:szCs w:val="22"/>
          <w:lang w:eastAsia="en-US"/>
        </w:rPr>
        <w:t xml:space="preserve">Il co. 2 del citato art. 30-ter dispone che </w:t>
      </w:r>
      <w:r w:rsidRPr="003C2133">
        <w:rPr>
          <w:rFonts w:ascii="Bookman Old Style" w:hAnsi="Bookman Old Style"/>
          <w:color w:val="454545"/>
          <w:sz w:val="22"/>
          <w:szCs w:val="22"/>
        </w:rPr>
        <w:t>“</w:t>
      </w:r>
      <w:r w:rsidRPr="003C2133">
        <w:rPr>
          <w:rStyle w:val="Emphasis"/>
          <w:rFonts w:ascii="Bookman Old Style" w:hAnsi="Bookman Old Style"/>
          <w:iCs/>
          <w:color w:val="454545"/>
          <w:sz w:val="22"/>
          <w:szCs w:val="22"/>
        </w:rPr>
        <w:t xml:space="preserve">nel caso di applicazione di un’imposta non dovuta ad una cessione di beni o ad una prestazione di servizi, </w:t>
      </w:r>
      <w:r w:rsidRPr="003C2133">
        <w:rPr>
          <w:rStyle w:val="Strong"/>
          <w:rFonts w:ascii="Bookman Old Style" w:hAnsi="Bookman Old Style"/>
          <w:bCs/>
          <w:i/>
          <w:iCs/>
          <w:color w:val="454545"/>
          <w:sz w:val="22"/>
          <w:szCs w:val="22"/>
        </w:rPr>
        <w:t>accertata in via definitiva dall’Amministrazione finanziaria</w:t>
      </w:r>
      <w:r w:rsidRPr="003C2133">
        <w:rPr>
          <w:rStyle w:val="Emphasis"/>
          <w:rFonts w:ascii="Bookman Old Style" w:hAnsi="Bookman Old Style"/>
          <w:iCs/>
          <w:color w:val="454545"/>
          <w:sz w:val="22"/>
          <w:szCs w:val="22"/>
        </w:rPr>
        <w:t>, la domanda di restituzione può essere presentata dal cedente o prestatore entro il termine di due anni dall’avvenuta restituzione al cessionario o committente dell’importo pagato a titolo di rivalsa</w:t>
      </w:r>
      <w:r w:rsidRPr="003C2133">
        <w:rPr>
          <w:rFonts w:ascii="Bookman Old Style" w:hAnsi="Bookman Old Style"/>
          <w:color w:val="454545"/>
          <w:sz w:val="22"/>
          <w:szCs w:val="22"/>
        </w:rPr>
        <w:t>”.</w:t>
      </w:r>
    </w:p>
    <w:p w:rsidR="006649DC" w:rsidRDefault="006649DC" w:rsidP="00563908">
      <w:pPr>
        <w:autoSpaceDE w:val="0"/>
        <w:autoSpaceDN w:val="0"/>
        <w:adjustRightInd w:val="0"/>
        <w:jc w:val="both"/>
        <w:rPr>
          <w:rFonts w:ascii="Bookman Old Style" w:hAnsi="Bookman Old Style"/>
          <w:color w:val="454545"/>
          <w:sz w:val="22"/>
          <w:szCs w:val="22"/>
        </w:rPr>
      </w:pPr>
      <w:r w:rsidRPr="003C2133">
        <w:rPr>
          <w:rFonts w:ascii="Bookman Old Style" w:hAnsi="Bookman Old Style"/>
          <w:color w:val="454545"/>
          <w:sz w:val="22"/>
          <w:szCs w:val="22"/>
        </w:rPr>
        <w:t xml:space="preserve">La disposizione mira a tutelare il fornitore che, provvedendo a rifondere il cliente dell’IVA indebitamente applicata in fattura, deve poter ottenere dall’Erario la </w:t>
      </w:r>
      <w:r w:rsidRPr="003C2133">
        <w:rPr>
          <w:rFonts w:ascii="Bookman Old Style" w:hAnsi="Bookman Old Style"/>
          <w:bCs/>
          <w:sz w:val="22"/>
          <w:szCs w:val="22"/>
        </w:rPr>
        <w:t>restituzione</w:t>
      </w:r>
      <w:r w:rsidRPr="003C2133">
        <w:rPr>
          <w:rFonts w:ascii="Bookman Old Style" w:hAnsi="Bookman Old Style"/>
          <w:color w:val="454545"/>
          <w:sz w:val="22"/>
          <w:szCs w:val="22"/>
        </w:rPr>
        <w:t xml:space="preserve"> dell’imposta: a questo fine è stato disposto che il termine biennale decorre dalla data di versamento dell’imposta, ovvero, se successivo, dal giorno in cui si è verificato il presupposto per la restituzione, ossia il rimborso al cliente (art. 30-ter, co. 1, D.P.R. 633/1972). Queste disposizioni si applicano quanto l’Iva è indetraibile in capo al cliente, “</w:t>
      </w:r>
      <w:r w:rsidRPr="003C2133">
        <w:rPr>
          <w:rFonts w:ascii="Bookman Old Style" w:hAnsi="Bookman Old Style"/>
          <w:i/>
          <w:iCs/>
          <w:sz w:val="22"/>
          <w:szCs w:val="22"/>
        </w:rPr>
        <w:t>nel caso di applicazione di un’imposta non dovuta ad una cessione di beni</w:t>
      </w:r>
      <w:r w:rsidRPr="00B60793">
        <w:rPr>
          <w:rFonts w:ascii="Bookman Old Style" w:hAnsi="Bookman Old Style"/>
          <w:i/>
          <w:iCs/>
          <w:sz w:val="22"/>
          <w:szCs w:val="22"/>
        </w:rPr>
        <w:t xml:space="preserve"> o ad una prestazione di servizi</w:t>
      </w:r>
      <w:r w:rsidRPr="00B60793">
        <w:rPr>
          <w:rFonts w:ascii="Bookman Old Style" w:hAnsi="Bookman Old Style"/>
          <w:color w:val="454545"/>
          <w:sz w:val="22"/>
          <w:szCs w:val="22"/>
        </w:rPr>
        <w:t>”.</w:t>
      </w:r>
      <w:r>
        <w:rPr>
          <w:rFonts w:ascii="Bookman Old Style" w:hAnsi="Bookman Old Style"/>
          <w:color w:val="454545"/>
          <w:sz w:val="22"/>
          <w:szCs w:val="22"/>
        </w:rPr>
        <w:t xml:space="preserve"> Ma quando il cliente non riesce ad ottenere – dal fornitore - la restituzione dell’imposta (es. perché fallito), la tutela arriva dalla Legge di bilancio 2018, equiparando la sua posizione all’ipotesi dell’applicazione </w:t>
      </w:r>
      <w:r w:rsidRPr="00B60793">
        <w:rPr>
          <w:rFonts w:ascii="Bookman Old Style" w:hAnsi="Bookman Old Style"/>
          <w:bCs/>
          <w:sz w:val="22"/>
          <w:szCs w:val="22"/>
        </w:rPr>
        <w:t xml:space="preserve">di un’imposta in misura superiore a quella dovuta ai </w:t>
      </w:r>
      <w:r w:rsidRPr="003C2133">
        <w:rPr>
          <w:rFonts w:ascii="Bookman Old Style" w:hAnsi="Bookman Old Style"/>
          <w:bCs/>
          <w:sz w:val="22"/>
          <w:szCs w:val="22"/>
        </w:rPr>
        <w:t xml:space="preserve">casi di violazione del regime del </w:t>
      </w:r>
      <w:r w:rsidRPr="003C2133">
        <w:rPr>
          <w:rFonts w:ascii="Bookman Old Style" w:hAnsi="Bookman Old Style"/>
          <w:i/>
          <w:iCs/>
          <w:sz w:val="22"/>
          <w:szCs w:val="22"/>
        </w:rPr>
        <w:t>reverse charge</w:t>
      </w:r>
      <w:r w:rsidRPr="003C2133">
        <w:rPr>
          <w:rFonts w:ascii="Bookman Old Style" w:hAnsi="Bookman Old Style"/>
          <w:color w:val="454545"/>
          <w:sz w:val="22"/>
          <w:szCs w:val="22"/>
        </w:rPr>
        <w:t>, nel qual caso si applica l’art. 6, co. 9-bis2, D.Lgs. 471/1997 (secondo cui, “</w:t>
      </w:r>
      <w:r w:rsidRPr="003C2133">
        <w:rPr>
          <w:rFonts w:ascii="Bookman Old Style" w:hAnsi="Bookman Old Style"/>
          <w:i/>
          <w:iCs/>
          <w:sz w:val="22"/>
          <w:szCs w:val="22"/>
        </w:rPr>
        <w:t xml:space="preserve">in deroga al comma 1, qualora, in assenza dei requisiti prescritti per l’applicazione dell’inversione contabile l’imposta relativa a una cessione di beni o a una prestazione di servizi di cui alle disposizioni menzionate nel primo periodo del comma 9-bis, sia stata erroneamente assolta dal cessionario o committente, </w:t>
      </w:r>
      <w:r w:rsidRPr="003C2133">
        <w:rPr>
          <w:rFonts w:ascii="Bookman Old Style" w:hAnsi="Bookman Old Style"/>
          <w:bCs/>
          <w:i/>
          <w:sz w:val="22"/>
          <w:szCs w:val="22"/>
        </w:rPr>
        <w:t>fermo restando il diritto del cessionario o committente alla detrazione</w:t>
      </w:r>
      <w:r w:rsidRPr="003C2133">
        <w:rPr>
          <w:rFonts w:ascii="Bookman Old Style" w:hAnsi="Bookman Old Style"/>
          <w:i/>
          <w:iCs/>
          <w:sz w:val="22"/>
          <w:szCs w:val="22"/>
        </w:rPr>
        <w:t xml:space="preserve"> ai sensi degli articoli 19 e seguenti del decreto del Presidente della Repubblica 26 ottobre 1972, n. 633, </w:t>
      </w:r>
      <w:r w:rsidRPr="003C2133">
        <w:rPr>
          <w:rFonts w:ascii="Bookman Old Style" w:hAnsi="Bookman Old Style"/>
          <w:bCs/>
          <w:i/>
          <w:sz w:val="22"/>
          <w:szCs w:val="22"/>
        </w:rPr>
        <w:t>il cedente o il prestatore non è tenuto all’assolvimento dell’imposta, ma è punito con la sanzione amministrativa compresa fra 250 euro e 10.000 euro</w:t>
      </w:r>
      <w:r w:rsidRPr="003C2133">
        <w:rPr>
          <w:rFonts w:ascii="Bookman Old Style" w:hAnsi="Bookman Old Style"/>
          <w:i/>
          <w:iCs/>
          <w:sz w:val="22"/>
          <w:szCs w:val="22"/>
        </w:rPr>
        <w:t>. Al pagamento della sanzione è solidalmente tenuto il cessionario o committente. Le disposizioni di cui ai periodi precedenti non si applicano e il cedente</w:t>
      </w:r>
      <w:r w:rsidRPr="00B60793">
        <w:rPr>
          <w:rFonts w:ascii="Bookman Old Style" w:hAnsi="Bookman Old Style"/>
          <w:i/>
          <w:iCs/>
          <w:sz w:val="22"/>
          <w:szCs w:val="22"/>
        </w:rPr>
        <w:t xml:space="preserve"> o prestatore è punito con la sanzione di cui al comma 1 quando l’applicazione dell’imposta mediante l’inversione contabile anziché nel modo ordinario è stata determinata da un intento di evasione o di frode del quale sia provato che il cedente o prestatore era consapevole</w:t>
      </w:r>
      <w:r w:rsidRPr="00B60793">
        <w:rPr>
          <w:rFonts w:ascii="Bookman Old Style" w:hAnsi="Bookman Old Style"/>
          <w:color w:val="454545"/>
          <w:sz w:val="22"/>
          <w:szCs w:val="22"/>
        </w:rPr>
        <w:t>”</w:t>
      </w:r>
      <w:r>
        <w:rPr>
          <w:rFonts w:ascii="Bookman Old Style" w:hAnsi="Bookman Old Style"/>
          <w:color w:val="454545"/>
          <w:sz w:val="22"/>
          <w:szCs w:val="22"/>
        </w:rPr>
        <w:t>)</w:t>
      </w:r>
      <w:r w:rsidRPr="00B60793">
        <w:rPr>
          <w:rFonts w:ascii="Bookman Old Style" w:hAnsi="Bookman Old Style"/>
          <w:color w:val="454545"/>
          <w:sz w:val="22"/>
          <w:szCs w:val="22"/>
        </w:rPr>
        <w:t>.</w:t>
      </w:r>
    </w:p>
    <w:p w:rsidR="006649DC" w:rsidRDefault="006649DC" w:rsidP="00563908">
      <w:pPr>
        <w:autoSpaceDE w:val="0"/>
        <w:autoSpaceDN w:val="0"/>
        <w:adjustRightInd w:val="0"/>
        <w:jc w:val="both"/>
        <w:rPr>
          <w:rFonts w:ascii="Bookman Old Style" w:hAnsi="Bookman Old Style"/>
          <w:i/>
          <w:color w:val="454545"/>
          <w:sz w:val="22"/>
          <w:szCs w:val="22"/>
        </w:rPr>
      </w:pPr>
    </w:p>
    <w:p w:rsidR="006649DC" w:rsidRDefault="006649DC" w:rsidP="00563908">
      <w:pPr>
        <w:autoSpaceDE w:val="0"/>
        <w:autoSpaceDN w:val="0"/>
        <w:adjustRightInd w:val="0"/>
        <w:jc w:val="both"/>
        <w:rPr>
          <w:rFonts w:ascii="Bookman Old Style" w:hAnsi="Bookman Old Style"/>
          <w:color w:val="454545"/>
          <w:sz w:val="22"/>
          <w:szCs w:val="22"/>
        </w:rPr>
      </w:pPr>
      <w:r w:rsidRPr="004E47CA">
        <w:rPr>
          <w:rFonts w:ascii="Bookman Old Style" w:hAnsi="Bookman Old Style"/>
          <w:i/>
          <w:color w:val="454545"/>
          <w:sz w:val="22"/>
          <w:szCs w:val="22"/>
        </w:rPr>
        <w:t>Le strade per il recupero dell’Iva erroneamente assolta</w:t>
      </w:r>
      <w:r>
        <w:rPr>
          <w:rFonts w:ascii="Bookman Old Style" w:hAnsi="Bookman Old Style"/>
          <w:color w:val="454545"/>
          <w:sz w:val="22"/>
          <w:szCs w:val="22"/>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3"/>
        <w:gridCol w:w="3260"/>
        <w:gridCol w:w="3402"/>
      </w:tblGrid>
      <w:tr w:rsidR="006649DC" w:rsidTr="0065205C">
        <w:tc>
          <w:tcPr>
            <w:tcW w:w="3403" w:type="dxa"/>
          </w:tcPr>
          <w:p w:rsidR="006649DC" w:rsidRPr="0065205C" w:rsidRDefault="006649DC" w:rsidP="0065205C">
            <w:pPr>
              <w:pStyle w:val="NormalWeb"/>
              <w:spacing w:after="40" w:line="300" w:lineRule="atLeast"/>
              <w:jc w:val="center"/>
              <w:rPr>
                <w:rFonts w:ascii="Bookman Old Style" w:hAnsi="Bookman Old Style"/>
                <w:color w:val="454545"/>
              </w:rPr>
            </w:pPr>
            <w:r w:rsidRPr="0065205C">
              <w:rPr>
                <w:rFonts w:ascii="Bookman Old Style" w:hAnsi="Bookman Old Style"/>
                <w:color w:val="454545"/>
              </w:rPr>
              <w:t>SITUAZIONE 1</w:t>
            </w:r>
          </w:p>
        </w:tc>
        <w:tc>
          <w:tcPr>
            <w:tcW w:w="6662" w:type="dxa"/>
            <w:gridSpan w:val="2"/>
          </w:tcPr>
          <w:p w:rsidR="006649DC" w:rsidRPr="0065205C" w:rsidRDefault="006649DC" w:rsidP="0065205C">
            <w:pPr>
              <w:pStyle w:val="NormalWeb"/>
              <w:spacing w:after="40" w:line="300" w:lineRule="atLeast"/>
              <w:jc w:val="center"/>
              <w:rPr>
                <w:rFonts w:ascii="Bookman Old Style" w:hAnsi="Bookman Old Style"/>
                <w:color w:val="454545"/>
              </w:rPr>
            </w:pPr>
            <w:r w:rsidRPr="0065205C">
              <w:rPr>
                <w:rFonts w:ascii="Bookman Old Style" w:hAnsi="Bookman Old Style"/>
                <w:color w:val="454545"/>
              </w:rPr>
              <w:t>SITUAZIONE 2</w:t>
            </w:r>
          </w:p>
        </w:tc>
      </w:tr>
      <w:tr w:rsidR="006649DC" w:rsidTr="0065205C">
        <w:tc>
          <w:tcPr>
            <w:tcW w:w="3403" w:type="dxa"/>
            <w:vAlign w:val="center"/>
          </w:tcPr>
          <w:p w:rsidR="006649DC" w:rsidRPr="0065205C" w:rsidRDefault="006649DC" w:rsidP="0065205C">
            <w:pPr>
              <w:pStyle w:val="NormalWeb"/>
              <w:spacing w:after="40" w:line="300" w:lineRule="atLeast"/>
              <w:jc w:val="center"/>
              <w:rPr>
                <w:rFonts w:ascii="Bookman Old Style" w:hAnsi="Bookman Old Style"/>
                <w:color w:val="454545"/>
              </w:rPr>
            </w:pPr>
            <w:r w:rsidRPr="0065205C">
              <w:rPr>
                <w:rFonts w:ascii="Bookman Old Style" w:hAnsi="Bookman Old Style"/>
                <w:color w:val="454545"/>
              </w:rPr>
              <w:t>L’IVA è assolta erroneamente dal cliente con il meccanismo dell’inversione contabile</w:t>
            </w:r>
          </w:p>
        </w:tc>
        <w:tc>
          <w:tcPr>
            <w:tcW w:w="6662" w:type="dxa"/>
            <w:gridSpan w:val="2"/>
            <w:vAlign w:val="center"/>
          </w:tcPr>
          <w:p w:rsidR="006649DC" w:rsidRPr="0065205C" w:rsidRDefault="006649DC" w:rsidP="0065205C">
            <w:pPr>
              <w:pStyle w:val="NormalWeb"/>
              <w:spacing w:after="0" w:line="300" w:lineRule="atLeast"/>
              <w:jc w:val="center"/>
              <w:rPr>
                <w:rFonts w:ascii="Bookman Old Style" w:hAnsi="Bookman Old Style"/>
                <w:color w:val="454545"/>
              </w:rPr>
            </w:pPr>
            <w:r w:rsidRPr="0065205C">
              <w:rPr>
                <w:rFonts w:ascii="Bookman Old Style" w:hAnsi="Bookman Old Style"/>
                <w:color w:val="454545"/>
              </w:rPr>
              <w:t>L’IVA è assolta dal fornitore ma in misura errata.</w:t>
            </w:r>
          </w:p>
          <w:p w:rsidR="006649DC" w:rsidRPr="0065205C" w:rsidRDefault="006649DC" w:rsidP="0065205C">
            <w:pPr>
              <w:pStyle w:val="NormalWeb"/>
              <w:spacing w:after="0" w:line="300" w:lineRule="atLeast"/>
              <w:jc w:val="center"/>
              <w:rPr>
                <w:rFonts w:ascii="Bookman Old Style" w:hAnsi="Bookman Old Style"/>
                <w:color w:val="454545"/>
              </w:rPr>
            </w:pPr>
            <w:r w:rsidRPr="0065205C">
              <w:rPr>
                <w:rFonts w:ascii="Bookman Old Style" w:hAnsi="Bookman Old Style"/>
                <w:color w:val="454545"/>
              </w:rPr>
              <w:t>Due strade alternative.</w:t>
            </w:r>
          </w:p>
        </w:tc>
      </w:tr>
      <w:tr w:rsidR="006649DC" w:rsidTr="0065205C">
        <w:tc>
          <w:tcPr>
            <w:tcW w:w="3403" w:type="dxa"/>
            <w:vAlign w:val="center"/>
          </w:tcPr>
          <w:p w:rsidR="006649DC" w:rsidRPr="0065205C" w:rsidRDefault="006649DC" w:rsidP="0065205C">
            <w:pPr>
              <w:pStyle w:val="NormalWeb"/>
              <w:spacing w:after="40" w:line="300" w:lineRule="atLeast"/>
              <w:jc w:val="center"/>
              <w:rPr>
                <w:rFonts w:ascii="Bookman Old Style" w:hAnsi="Bookman Old Style"/>
                <w:color w:val="454545"/>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3" o:spid="_x0000_s1027" type="#_x0000_t67" style="position:absolute;left:0;text-align:left;margin-left:71.4pt;margin-top:1.05pt;width:26.55pt;height:18.4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" adj="10800" fillcolor="#4f81bd" strokecolor="#243f60" strokeweight="2pt"/>
              </w:pict>
            </w:r>
          </w:p>
        </w:tc>
        <w:tc>
          <w:tcPr>
            <w:tcW w:w="3260" w:type="dxa"/>
            <w:vAlign w:val="center"/>
          </w:tcPr>
          <w:p w:rsidR="006649DC" w:rsidRPr="0065205C" w:rsidRDefault="006649DC" w:rsidP="0065205C">
            <w:pPr>
              <w:pStyle w:val="NormalWeb"/>
              <w:spacing w:after="40" w:line="300" w:lineRule="atLeast"/>
              <w:jc w:val="center"/>
              <w:rPr>
                <w:rFonts w:ascii="Bookman Old Style" w:hAnsi="Bookman Old Style"/>
                <w:color w:val="454545"/>
              </w:rPr>
            </w:pPr>
            <w:r>
              <w:rPr>
                <w:noProof/>
              </w:rPr>
              <w:pict>
                <v:shape id="Freccia in giù 5" o:spid="_x0000_s1028" type="#_x0000_t67" style="position:absolute;left:0;text-align:left;margin-left:70.9pt;margin-top:1.7pt;width:26.55pt;height:18.4pt;rotation:1624395fd;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" adj="10800" fillcolor="#4f81bd" strokecolor="#243f60" strokeweight="2pt"/>
              </w:pict>
            </w:r>
          </w:p>
        </w:tc>
        <w:tc>
          <w:tcPr>
            <w:tcW w:w="3402" w:type="dxa"/>
            <w:vAlign w:val="center"/>
          </w:tcPr>
          <w:p w:rsidR="006649DC" w:rsidRPr="0065205C" w:rsidRDefault="006649DC" w:rsidP="0065205C">
            <w:pPr>
              <w:pStyle w:val="NormalWeb"/>
              <w:spacing w:after="40" w:line="300" w:lineRule="atLeast"/>
              <w:jc w:val="center"/>
              <w:rPr>
                <w:rFonts w:ascii="Bookman Old Style" w:hAnsi="Bookman Old Style"/>
                <w:color w:val="454545"/>
              </w:rPr>
            </w:pPr>
            <w:r>
              <w:rPr>
                <w:noProof/>
              </w:rPr>
              <w:pict>
                <v:shape id="Freccia in giù 4" o:spid="_x0000_s1029" type="#_x0000_t67" style="position:absolute;left:0;text-align:left;margin-left:29.7pt;margin-top:.95pt;width:26.55pt;height:18.4pt;rotation:-1876356fd;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" adj="10800" fillcolor="#4f81bd" strokecolor="#243f60" strokeweight="2pt"/>
              </w:pict>
            </w:r>
          </w:p>
        </w:tc>
      </w:tr>
      <w:tr w:rsidR="006649DC" w:rsidTr="0065205C">
        <w:tc>
          <w:tcPr>
            <w:tcW w:w="3403" w:type="dxa"/>
            <w:vAlign w:val="center"/>
          </w:tcPr>
          <w:p w:rsidR="006649DC" w:rsidRPr="0065205C" w:rsidRDefault="006649DC" w:rsidP="0065205C">
            <w:pPr>
              <w:pStyle w:val="NormalWeb"/>
              <w:spacing w:after="40" w:line="300" w:lineRule="atLeast"/>
              <w:jc w:val="center"/>
              <w:rPr>
                <w:rFonts w:ascii="Bookman Old Style" w:hAnsi="Bookman Old Style"/>
                <w:color w:val="454545"/>
              </w:rPr>
            </w:pPr>
            <w:r w:rsidRPr="0065205C">
              <w:rPr>
                <w:rFonts w:ascii="Bookman Old Style" w:hAnsi="Bookman Old Style"/>
                <w:color w:val="454545"/>
              </w:rPr>
              <w:t>Resta fermo il diritto alla detrazione in capo al cessionario/committente</w:t>
            </w:r>
          </w:p>
        </w:tc>
        <w:tc>
          <w:tcPr>
            <w:tcW w:w="3260" w:type="dxa"/>
            <w:vAlign w:val="center"/>
          </w:tcPr>
          <w:p w:rsidR="006649DC" w:rsidRPr="0065205C" w:rsidRDefault="006649DC" w:rsidP="0065205C">
            <w:pPr>
              <w:pStyle w:val="NormalWeb"/>
              <w:spacing w:after="40" w:line="300" w:lineRule="atLeast"/>
              <w:jc w:val="center"/>
              <w:rPr>
                <w:rFonts w:ascii="Bookman Old Style" w:hAnsi="Bookman Old Style"/>
                <w:color w:val="454545"/>
              </w:rPr>
            </w:pPr>
            <w:r w:rsidRPr="0065205C">
              <w:rPr>
                <w:rFonts w:ascii="Bookman Old Style" w:hAnsi="Bookman Old Style"/>
                <w:color w:val="454545"/>
              </w:rPr>
              <w:t>Il cliente non detrae l’IVA e chiede al</w:t>
            </w:r>
          </w:p>
        </w:tc>
        <w:tc>
          <w:tcPr>
            <w:tcW w:w="3402" w:type="dxa"/>
            <w:vAlign w:val="center"/>
          </w:tcPr>
          <w:p w:rsidR="006649DC" w:rsidRPr="0065205C" w:rsidRDefault="006649DC" w:rsidP="0065205C">
            <w:pPr>
              <w:pStyle w:val="NormalWeb"/>
              <w:spacing w:after="40" w:line="300" w:lineRule="atLeast"/>
              <w:jc w:val="center"/>
              <w:rPr>
                <w:rFonts w:ascii="Bookman Old Style" w:hAnsi="Bookman Old Style"/>
                <w:color w:val="454545"/>
              </w:rPr>
            </w:pPr>
            <w:r w:rsidRPr="0065205C">
              <w:rPr>
                <w:rFonts w:ascii="Bookman Old Style" w:hAnsi="Bookman Old Style"/>
                <w:color w:val="454545"/>
              </w:rPr>
              <w:t xml:space="preserve">Il cliente detrae l’IVA  (resta fermo il suo diritto) e non chiede al fornitore la restituzione delle somme erroneamente ad esso pagate (perché impossibilitato, ad es.  a seguito di fallimento del fornitore) </w:t>
            </w:r>
            <w:r w:rsidRPr="0065205C">
              <w:rPr>
                <w:rFonts w:ascii="Bookman Old Style" w:hAnsi="Bookman Old Style"/>
                <w:color w:val="FF0000"/>
              </w:rPr>
              <w:t>(*)</w:t>
            </w:r>
          </w:p>
        </w:tc>
      </w:tr>
      <w:tr w:rsidR="006649DC" w:rsidTr="0065205C">
        <w:tc>
          <w:tcPr>
            <w:tcW w:w="3403" w:type="dxa"/>
            <w:vAlign w:val="center"/>
          </w:tcPr>
          <w:p w:rsidR="006649DC" w:rsidRPr="0065205C" w:rsidRDefault="006649DC" w:rsidP="0065205C">
            <w:pPr>
              <w:pStyle w:val="NormalWeb"/>
              <w:spacing w:after="40" w:line="300" w:lineRule="atLeast"/>
              <w:jc w:val="center"/>
              <w:rPr>
                <w:rFonts w:ascii="Bookman Old Style" w:hAnsi="Bookman Old Style"/>
                <w:color w:val="454545"/>
              </w:rPr>
            </w:pPr>
            <w:r>
              <w:rPr>
                <w:noProof/>
              </w:rPr>
              <w:pict>
                <v:shape id="Freccia in giù 6" o:spid="_x0000_s1030" type="#_x0000_t67" style="position:absolute;left:0;text-align:left;margin-left:76.4pt;margin-top:2.4pt;width:26.55pt;height:18.4pt;z-index:251654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" adj="10800" fillcolor="#4f81bd" strokecolor="#243f60" strokeweight="2pt"/>
              </w:pict>
            </w:r>
          </w:p>
        </w:tc>
        <w:tc>
          <w:tcPr>
            <w:tcW w:w="3260" w:type="dxa"/>
            <w:vAlign w:val="center"/>
          </w:tcPr>
          <w:p w:rsidR="006649DC" w:rsidRPr="0065205C" w:rsidRDefault="006649DC" w:rsidP="0065205C">
            <w:pPr>
              <w:pStyle w:val="NormalWeb"/>
              <w:spacing w:after="40" w:line="300" w:lineRule="atLeast"/>
              <w:jc w:val="center"/>
              <w:rPr>
                <w:rFonts w:ascii="Bookman Old Style" w:hAnsi="Bookman Old Style"/>
                <w:color w:val="454545"/>
              </w:rPr>
            </w:pPr>
            <w:r>
              <w:rPr>
                <w:noProof/>
              </w:rPr>
              <w:pict>
                <v:shape id="Freccia in giù 7" o:spid="_x0000_s1031" type="#_x0000_t67" style="position:absolute;left:0;text-align:left;margin-left:46.8pt;margin-top:2.3pt;width:26.55pt;height:18.4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" adj="10800" fillcolor="#4f81bd" strokecolor="#243f60" strokeweight="2pt"/>
              </w:pict>
            </w:r>
          </w:p>
        </w:tc>
        <w:tc>
          <w:tcPr>
            <w:tcW w:w="3402" w:type="dxa"/>
            <w:vAlign w:val="center"/>
          </w:tcPr>
          <w:p w:rsidR="006649DC" w:rsidRPr="0065205C" w:rsidRDefault="006649DC" w:rsidP="0065205C">
            <w:pPr>
              <w:pStyle w:val="NormalWeb"/>
              <w:spacing w:after="40" w:line="300" w:lineRule="atLeast"/>
              <w:jc w:val="center"/>
              <w:rPr>
                <w:rFonts w:ascii="Bookman Old Style" w:hAnsi="Bookman Old Style"/>
                <w:color w:val="454545"/>
              </w:rPr>
            </w:pPr>
            <w:r>
              <w:rPr>
                <w:noProof/>
              </w:rPr>
              <w:pict>
                <v:shape id="Freccia in giù 8" o:spid="_x0000_s1032" type="#_x0000_t67" style="position:absolute;left:0;text-align:left;margin-left:61.2pt;margin-top:2.2pt;width:26.55pt;height:18.4pt;z-index:25165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" adj="10800" fillcolor="#4f81bd" strokecolor="#243f60" strokeweight="2pt"/>
              </w:pict>
            </w:r>
          </w:p>
        </w:tc>
      </w:tr>
      <w:tr w:rsidR="006649DC" w:rsidTr="0065205C">
        <w:tc>
          <w:tcPr>
            <w:tcW w:w="3403" w:type="dxa"/>
            <w:vAlign w:val="center"/>
          </w:tcPr>
          <w:p w:rsidR="006649DC" w:rsidRPr="0065205C" w:rsidRDefault="006649DC" w:rsidP="0065205C">
            <w:pPr>
              <w:pStyle w:val="NormalWeb"/>
              <w:spacing w:after="40" w:line="300" w:lineRule="atLeast"/>
              <w:jc w:val="center"/>
              <w:rPr>
                <w:rFonts w:ascii="Bookman Old Style" w:hAnsi="Bookman Old Style"/>
                <w:color w:val="454545"/>
              </w:rPr>
            </w:pPr>
            <w:r w:rsidRPr="0065205C">
              <w:rPr>
                <w:rFonts w:ascii="Bookman Old Style" w:hAnsi="Bookman Old Style"/>
                <w:color w:val="454545"/>
              </w:rPr>
              <w:t>Il cedente/prestatore è soggetto alla sanzione amministrativa fra 250 euro e 10.000 euro</w:t>
            </w:r>
          </w:p>
        </w:tc>
        <w:tc>
          <w:tcPr>
            <w:tcW w:w="3260" w:type="dxa"/>
            <w:vAlign w:val="center"/>
          </w:tcPr>
          <w:p w:rsidR="006649DC" w:rsidRPr="0065205C" w:rsidRDefault="006649DC" w:rsidP="0065205C">
            <w:pPr>
              <w:pStyle w:val="NormalWeb"/>
              <w:spacing w:after="40" w:line="300" w:lineRule="atLeast"/>
              <w:jc w:val="center"/>
              <w:rPr>
                <w:rFonts w:ascii="Bookman Old Style" w:hAnsi="Bookman Old Style"/>
                <w:color w:val="454545"/>
              </w:rPr>
            </w:pPr>
            <w:r w:rsidRPr="0065205C">
              <w:rPr>
                <w:rFonts w:ascii="Bookman Old Style" w:hAnsi="Bookman Old Style"/>
                <w:color w:val="454545"/>
              </w:rPr>
              <w:t>Il fornitore restituisce al cliente l’imposta erroneamente addebitatagli e può presentare istanza di rimborso all’Erario entro 2 anni</w:t>
            </w:r>
          </w:p>
        </w:tc>
        <w:tc>
          <w:tcPr>
            <w:tcW w:w="3402" w:type="dxa"/>
            <w:vAlign w:val="center"/>
          </w:tcPr>
          <w:p w:rsidR="006649DC" w:rsidRPr="0065205C" w:rsidRDefault="006649DC" w:rsidP="0065205C">
            <w:pPr>
              <w:pStyle w:val="NormalWeb"/>
              <w:spacing w:after="40" w:line="300" w:lineRule="atLeast"/>
              <w:jc w:val="center"/>
              <w:rPr>
                <w:rFonts w:ascii="Bookman Old Style" w:hAnsi="Bookman Old Style"/>
                <w:color w:val="454545"/>
              </w:rPr>
            </w:pPr>
            <w:r w:rsidRPr="0065205C">
              <w:rPr>
                <w:rFonts w:ascii="Bookman Old Style" w:hAnsi="Bookman Old Style"/>
                <w:color w:val="454545"/>
              </w:rPr>
              <w:t>Il cessionario/committente è soggetto alla sanzione amministrativa fra 250 euro e 10.000 euro</w:t>
            </w:r>
          </w:p>
        </w:tc>
      </w:tr>
      <w:tr w:rsidR="006649DC" w:rsidTr="0065205C">
        <w:tc>
          <w:tcPr>
            <w:tcW w:w="3403" w:type="dxa"/>
            <w:vAlign w:val="center"/>
          </w:tcPr>
          <w:p w:rsidR="006649DC" w:rsidRPr="0065205C" w:rsidRDefault="006649DC" w:rsidP="0065205C">
            <w:pPr>
              <w:pStyle w:val="NormalWeb"/>
              <w:spacing w:after="40" w:line="300" w:lineRule="atLeast"/>
              <w:jc w:val="center"/>
              <w:rPr>
                <w:rFonts w:ascii="Bookman Old Style" w:hAnsi="Bookman Old Style"/>
                <w:color w:val="454545"/>
              </w:rPr>
            </w:pPr>
            <w:r>
              <w:rPr>
                <w:noProof/>
              </w:rPr>
              <w:pict>
                <v:shape id="Freccia in giù 9" o:spid="_x0000_s1033" type="#_x0000_t67" style="position:absolute;left:0;text-align:left;margin-left:68.8pt;margin-top:2.15pt;width:26.55pt;height:18.4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" adj="10800" fillcolor="#4f81bd" strokecolor="#243f60" strokeweight="2pt"/>
              </w:pict>
            </w:r>
          </w:p>
        </w:tc>
        <w:tc>
          <w:tcPr>
            <w:tcW w:w="3260" w:type="dxa"/>
            <w:vAlign w:val="center"/>
          </w:tcPr>
          <w:p w:rsidR="006649DC" w:rsidRPr="0065205C" w:rsidRDefault="006649DC" w:rsidP="0065205C">
            <w:pPr>
              <w:pStyle w:val="NormalWeb"/>
              <w:spacing w:after="40" w:line="300" w:lineRule="atLeast"/>
              <w:jc w:val="center"/>
              <w:rPr>
                <w:rFonts w:ascii="Bookman Old Style" w:hAnsi="Bookman Old Style"/>
                <w:color w:val="454545"/>
              </w:rPr>
            </w:pPr>
            <w:r>
              <w:rPr>
                <w:noProof/>
              </w:rPr>
              <w:pict>
                <v:shape id="Freccia in giù 10" o:spid="_x0000_s1034" type="#_x0000_t67" style="position:absolute;left:0;text-align:left;margin-left:47.55pt;margin-top:2.65pt;width:26.55pt;height:18.4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" adj="10800" fillcolor="#4f81bd" strokecolor="#243f60" strokeweight="2pt"/>
              </w:pict>
            </w:r>
          </w:p>
        </w:tc>
        <w:tc>
          <w:tcPr>
            <w:tcW w:w="3402" w:type="dxa"/>
            <w:vAlign w:val="center"/>
          </w:tcPr>
          <w:p w:rsidR="006649DC" w:rsidRPr="0065205C" w:rsidRDefault="006649DC" w:rsidP="0065205C">
            <w:pPr>
              <w:pStyle w:val="NormalWeb"/>
              <w:spacing w:after="40" w:line="300" w:lineRule="atLeast"/>
              <w:jc w:val="center"/>
              <w:rPr>
                <w:rFonts w:ascii="Bookman Old Style" w:hAnsi="Bookman Old Style"/>
                <w:color w:val="454545"/>
              </w:rPr>
            </w:pPr>
            <w:r>
              <w:rPr>
                <w:noProof/>
              </w:rPr>
              <w:pict>
                <v:shape id="Freccia in giù 11" o:spid="_x0000_s1035" type="#_x0000_t67" style="position:absolute;left:0;text-align:left;margin-left:64.5pt;margin-top:2.3pt;width:26.55pt;height:18.4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" adj="10800" fillcolor="#4f81bd" strokecolor="#243f60" strokeweight="2pt"/>
              </w:pict>
            </w:r>
          </w:p>
        </w:tc>
      </w:tr>
      <w:tr w:rsidR="006649DC" w:rsidTr="0065205C">
        <w:tc>
          <w:tcPr>
            <w:tcW w:w="3403" w:type="dxa"/>
            <w:vAlign w:val="center"/>
          </w:tcPr>
          <w:p w:rsidR="006649DC" w:rsidRPr="0065205C" w:rsidRDefault="006649DC" w:rsidP="0065205C">
            <w:pPr>
              <w:pStyle w:val="NormalWeb"/>
              <w:spacing w:after="40" w:line="300" w:lineRule="atLeast"/>
              <w:jc w:val="center"/>
              <w:rPr>
                <w:rFonts w:ascii="Bookman Old Style" w:hAnsi="Bookman Old Style"/>
                <w:color w:val="454545"/>
                <w:lang w:val="en-GB"/>
              </w:rPr>
            </w:pPr>
            <w:r w:rsidRPr="0065205C">
              <w:rPr>
                <w:rFonts w:ascii="Bookman Old Style" w:hAnsi="Bookman Old Style"/>
                <w:color w:val="454545"/>
                <w:lang w:val="en-GB"/>
              </w:rPr>
              <w:t>art. 6, co. 9-bis2, D.Lgs. 471/1997</w:t>
            </w:r>
          </w:p>
        </w:tc>
        <w:tc>
          <w:tcPr>
            <w:tcW w:w="3260" w:type="dxa"/>
            <w:vAlign w:val="center"/>
          </w:tcPr>
          <w:p w:rsidR="006649DC" w:rsidRPr="0065205C" w:rsidRDefault="006649DC" w:rsidP="0065205C">
            <w:pPr>
              <w:pStyle w:val="NormalWeb"/>
              <w:spacing w:after="40" w:line="300" w:lineRule="atLeast"/>
              <w:jc w:val="center"/>
              <w:rPr>
                <w:rFonts w:ascii="Bookman Old Style" w:hAnsi="Bookman Old Style"/>
                <w:color w:val="454545"/>
              </w:rPr>
            </w:pPr>
            <w:r w:rsidRPr="0065205C">
              <w:rPr>
                <w:rFonts w:ascii="Bookman Old Style" w:hAnsi="Bookman Old Style"/>
                <w:color w:val="454545"/>
              </w:rPr>
              <w:t>art. 30-ter, D.P.R. 633/1972</w:t>
            </w:r>
          </w:p>
        </w:tc>
        <w:tc>
          <w:tcPr>
            <w:tcW w:w="3402" w:type="dxa"/>
            <w:vAlign w:val="center"/>
          </w:tcPr>
          <w:p w:rsidR="006649DC" w:rsidRPr="0065205C" w:rsidRDefault="006649DC" w:rsidP="0065205C">
            <w:pPr>
              <w:pStyle w:val="NormalWeb"/>
              <w:spacing w:after="40" w:line="300" w:lineRule="atLeast"/>
              <w:jc w:val="center"/>
              <w:rPr>
                <w:rFonts w:ascii="Bookman Old Style" w:hAnsi="Bookman Old Style"/>
                <w:color w:val="454545"/>
              </w:rPr>
            </w:pPr>
            <w:r w:rsidRPr="0065205C">
              <w:rPr>
                <w:rFonts w:ascii="Bookman Old Style" w:hAnsi="Bookman Old Style"/>
                <w:color w:val="454545"/>
              </w:rPr>
              <w:t>art. 6, co. 6, D.Lgs. 471/1997</w:t>
            </w:r>
          </w:p>
        </w:tc>
      </w:tr>
    </w:tbl>
    <w:p w:rsidR="006649DC" w:rsidRDefault="006649DC" w:rsidP="003C2133">
      <w:pPr>
        <w:pStyle w:val="NormalWeb"/>
        <w:spacing w:after="0"/>
        <w:jc w:val="both"/>
        <w:rPr>
          <w:rFonts w:ascii="Bookman Old Style" w:hAnsi="Bookman Old Style"/>
          <w:color w:val="000000"/>
          <w:sz w:val="18"/>
          <w:szCs w:val="18"/>
        </w:rPr>
      </w:pPr>
      <w:r w:rsidRPr="007B1533">
        <w:rPr>
          <w:rFonts w:ascii="Bookman Old Style" w:hAnsi="Bookman Old Style"/>
          <w:color w:val="FF0000"/>
          <w:sz w:val="22"/>
          <w:szCs w:val="22"/>
        </w:rPr>
        <w:t>(*)</w:t>
      </w:r>
      <w:r>
        <w:rPr>
          <w:rFonts w:ascii="Bookman Old Style" w:hAnsi="Bookman Old Style"/>
          <w:color w:val="FF0000"/>
          <w:sz w:val="22"/>
          <w:szCs w:val="22"/>
        </w:rPr>
        <w:t xml:space="preserve"> </w:t>
      </w:r>
      <w:r w:rsidRPr="007B1533">
        <w:rPr>
          <w:rFonts w:ascii="Bookman Old Style" w:hAnsi="Bookman Old Style"/>
          <w:color w:val="000000"/>
          <w:sz w:val="18"/>
          <w:szCs w:val="18"/>
        </w:rPr>
        <w:t xml:space="preserve">Qualora il cliente abbia difficoltà nel recuperare in sede civilistica quanto pagato in più al fornitore per via di una imposta applicata dal fornitore in misura superiore a quella effettivamente dovuta (es. nel caso di fornitore assoggettato a fallimento), la giurisprudenza ha ritenuto possibile che il rimborso avvenga – da parte dell’Erario – direttamente al cessionario/committente (Corte di Giustizia Ue, causa C-564/15, </w:t>
      </w:r>
      <w:r w:rsidRPr="007B1533">
        <w:rPr>
          <w:rFonts w:ascii="Bookman Old Style" w:hAnsi="Bookman Old Style"/>
          <w:i/>
          <w:color w:val="000000"/>
          <w:sz w:val="18"/>
          <w:szCs w:val="18"/>
        </w:rPr>
        <w:t>Farkas</w:t>
      </w:r>
      <w:r w:rsidRPr="007B1533">
        <w:rPr>
          <w:rFonts w:ascii="Bookman Old Style" w:hAnsi="Bookman Old Style"/>
          <w:color w:val="000000"/>
          <w:sz w:val="18"/>
          <w:szCs w:val="18"/>
        </w:rPr>
        <w:t>; Cass. 24923/2016)</w:t>
      </w:r>
    </w:p>
    <w:p w:rsidR="006649DC" w:rsidRPr="00AE2CDC" w:rsidRDefault="006649DC" w:rsidP="003C2133">
      <w:pPr>
        <w:pStyle w:val="NormalWeb"/>
        <w:spacing w:after="0"/>
        <w:jc w:val="both"/>
        <w:rPr>
          <w:rFonts w:ascii="Bookman Old Style" w:hAnsi="Bookman Old Style"/>
          <w:color w:val="000000"/>
          <w:sz w:val="22"/>
          <w:szCs w:val="22"/>
        </w:rPr>
      </w:pPr>
      <w:r w:rsidRPr="007B25EB">
        <w:rPr>
          <w:rFonts w:ascii="Bookman Old Style" w:hAnsi="Bookman Old Style"/>
          <w:color w:val="000000"/>
          <w:sz w:val="22"/>
          <w:szCs w:val="22"/>
        </w:rPr>
        <w:t xml:space="preserve">La norma introdotta dalla Legge di bilancio 2018 intende pertanto semplificare i rapporti fra cliente-fornitore e tra fornitore-Erario quando – in assenza di frode - vi è un eccedente addebito di imposta in fattura, mediante la concessione della detrazione dell’IVA in capo al cliente (conformemente a quanto statuito dalla Corte di Giustizia Ue, </w:t>
      </w:r>
      <w:r>
        <w:rPr>
          <w:rFonts w:ascii="Bookman Old Style" w:hAnsi="Bookman Old Style"/>
          <w:color w:val="000000"/>
          <w:sz w:val="22"/>
          <w:szCs w:val="22"/>
        </w:rPr>
        <w:t xml:space="preserve">ordinanza </w:t>
      </w:r>
      <w:r w:rsidRPr="007B25EB">
        <w:rPr>
          <w:rFonts w:ascii="Bookman Old Style" w:hAnsi="Bookman Old Style"/>
          <w:color w:val="000000"/>
          <w:sz w:val="22"/>
          <w:szCs w:val="22"/>
        </w:rPr>
        <w:t xml:space="preserve">23.11.2017, in causa C-314/17, </w:t>
      </w:r>
      <w:r>
        <w:rPr>
          <w:rFonts w:ascii="Bookman Old Style" w:hAnsi="Bookman Old Style"/>
          <w:color w:val="000000"/>
          <w:sz w:val="22"/>
          <w:szCs w:val="22"/>
        </w:rPr>
        <w:t xml:space="preserve">punto 35, </w:t>
      </w:r>
      <w:r w:rsidRPr="007B25EB">
        <w:rPr>
          <w:rStyle w:val="Emphasis"/>
          <w:rFonts w:ascii="Bookman Old Style" w:hAnsi="Bookman Old Style"/>
          <w:iCs/>
          <w:color w:val="454545"/>
          <w:sz w:val="22"/>
          <w:szCs w:val="22"/>
        </w:rPr>
        <w:t>Geocycle Bulgaria</w:t>
      </w:r>
      <w:r>
        <w:rPr>
          <w:rStyle w:val="Emphasis"/>
          <w:rFonts w:ascii="Bookman Old Style" w:hAnsi="Bookman Old Style"/>
          <w:i w:val="0"/>
          <w:iCs/>
          <w:color w:val="454545"/>
          <w:sz w:val="22"/>
          <w:szCs w:val="22"/>
        </w:rPr>
        <w:t>, la cui traduzione – non ufficiale – afferma che “</w:t>
      </w:r>
      <w:r w:rsidRPr="007B25EB">
        <w:rPr>
          <w:rFonts w:ascii="Bookman Old Style" w:hAnsi="Bookman Old Style"/>
          <w:i/>
          <w:color w:val="000000"/>
          <w:sz w:val="22"/>
          <w:szCs w:val="22"/>
        </w:rPr>
        <w:t>i principi di neutralità fiscale ed efficacia del sistema comune dell'IVA devono essere interpretati nel senso che osta a che uno Stato membro rifiuta al destinatario di una consegna il diritto di detrarre l'IVA pagata a monte, quando, per una stessa consegna, l'IVA è riscossa una prima volta con il fornitore, poiché lo ha menzionato nella fattura che ha rilasciato, e quindi una seconda volta al destinatario</w:t>
      </w:r>
      <w:r>
        <w:rPr>
          <w:rFonts w:ascii="Bookman Old Style" w:hAnsi="Bookman Old Style"/>
          <w:color w:val="000000"/>
          <w:sz w:val="22"/>
          <w:szCs w:val="22"/>
        </w:rPr>
        <w:t>”</w:t>
      </w:r>
      <w:r w:rsidRPr="007B25EB">
        <w:rPr>
          <w:rStyle w:val="Emphasis"/>
          <w:rFonts w:ascii="Bookman Old Style" w:hAnsi="Bookman Old Style"/>
          <w:i w:val="0"/>
          <w:iCs/>
          <w:color w:val="454545"/>
          <w:sz w:val="22"/>
          <w:szCs w:val="22"/>
        </w:rPr>
        <w:t>).</w:t>
      </w:r>
      <w:r>
        <w:rPr>
          <w:rFonts w:ascii="Bookman Old Style" w:hAnsi="Bookman Old Style"/>
          <w:color w:val="000000"/>
          <w:sz w:val="22"/>
          <w:szCs w:val="22"/>
        </w:rPr>
        <w:t>S</w:t>
      </w:r>
      <w:r w:rsidRPr="00AE2CDC">
        <w:rPr>
          <w:rFonts w:ascii="Bookman Old Style" w:hAnsi="Bookman Old Style"/>
          <w:color w:val="000000"/>
          <w:sz w:val="22"/>
          <w:szCs w:val="22"/>
        </w:rPr>
        <w:t xml:space="preserve">e, </w:t>
      </w:r>
      <w:r w:rsidRPr="00563908">
        <w:rPr>
          <w:rFonts w:ascii="Bookman Old Style" w:hAnsi="Bookman Old Style"/>
          <w:color w:val="000000"/>
          <w:sz w:val="22"/>
          <w:szCs w:val="22"/>
        </w:rPr>
        <w:t>pertanto, la novella legislativa intende adeguarsi alla giurisprudenza unionale, si ritiene che la decorrenza della disposizione debba essere considerata retroattiva rispetto alle altre disposizione della Legge</w:t>
      </w:r>
      <w:r w:rsidRPr="00AE2CDC">
        <w:rPr>
          <w:rFonts w:ascii="Bookman Old Style" w:hAnsi="Bookman Old Style"/>
          <w:color w:val="000000"/>
          <w:sz w:val="22"/>
          <w:szCs w:val="22"/>
        </w:rPr>
        <w:t xml:space="preserve"> di bilancio 2018, che entrano in vigore in data 1.1.2018.</w:t>
      </w:r>
    </w:p>
    <w:p w:rsidR="006649DC" w:rsidRPr="003C2133" w:rsidRDefault="006649DC" w:rsidP="00347EDC">
      <w:pPr>
        <w:rPr>
          <w:rFonts w:ascii="Bookman Old Style" w:hAnsi="Bookman Old Style"/>
        </w:rPr>
      </w:pPr>
    </w:p>
    <w:sectPr w:rsidR="006649DC" w:rsidRPr="003C2133" w:rsidSect="003B5653">
      <w:headerReference w:type="default" r:id="rId23"/>
      <w:footerReference w:type="default" r:id="rId24"/>
      <w:type w:val="continuous"/>
      <w:pgSz w:w="11906" w:h="16838"/>
      <w:pgMar w:top="3261" w:right="1134" w:bottom="1560" w:left="1134" w:header="720" w:footer="720" w:gutter="0"/>
      <w:pgBorders w:offsetFrom="page">
        <w:top w:val="single" w:sz="4" w:space="24" w:color="DDDDDD"/>
        <w:bottom w:val="single" w:sz="4" w:space="24" w:color="DDDDDD"/>
      </w:pgBorders>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9DC" w:rsidRDefault="006649DC">
      <w:r>
        <w:separator/>
      </w:r>
    </w:p>
  </w:endnote>
  <w:endnote w:type="continuationSeparator" w:id="0">
    <w:p w:rsidR="006649DC" w:rsidRDefault="006649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umberland">
    <w:altName w:val="Courier New"/>
    <w:panose1 w:val="00000000000000000000"/>
    <w:charset w:val="00"/>
    <w:family w:val="moder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1" w:usb1="08070000" w:usb2="00000010" w:usb3="00000000" w:csb0="00020000" w:csb1="00000000"/>
  </w:font>
  <w:font w:name="Roboto">
    <w:altName w:val="Times New Roman"/>
    <w:panose1 w:val="00000000000000000000"/>
    <w:charset w:val="00"/>
    <w:family w:val="auto"/>
    <w:notTrueType/>
    <w:pitch w:val="default"/>
    <w:sig w:usb0="00000003" w:usb1="00000000" w:usb2="00000000" w:usb3="00000000" w:csb0="00000001" w:csb1="00000000"/>
  </w:font>
  <w:font w:name="Asap">
    <w:altName w:val="Arial Narrow"/>
    <w:panose1 w:val="00000000000000000000"/>
    <w:charset w:val="00"/>
    <w:family w:val="modern"/>
    <w:notTrueType/>
    <w:pitch w:val="variable"/>
    <w:sig w:usb0="00000003" w:usb1="00000000" w:usb2="00000000" w:usb3="00000000" w:csb0="00000001" w:csb1="00000000"/>
  </w:font>
  <w:font w:name="DIN-Medium">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ymbolOOEnc">
    <w:altName w:val="Arial Unicode MS"/>
    <w:panose1 w:val="00000000000000000000"/>
    <w:charset w:val="88"/>
    <w:family w:val="auto"/>
    <w:notTrueType/>
    <w:pitch w:val="default"/>
    <w:sig w:usb0="00000001" w:usb1="08080000" w:usb2="00000010" w:usb3="00000000" w:csb0="00100000"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9DC" w:rsidRDefault="006649DC">
    <w:pPr>
      <w:pStyle w:val="Footer"/>
      <w:jc w:val="right"/>
    </w:pPr>
    <w:fldSimple w:instr="PAGE   \* MERGEFORMAT">
      <w:r>
        <w:rPr>
          <w:noProof/>
        </w:rPr>
        <w:t>1</w:t>
      </w:r>
    </w:fldSimple>
  </w:p>
  <w:p w:rsidR="006649DC" w:rsidRDefault="006649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9DC" w:rsidRDefault="006649DC">
      <w:r>
        <w:separator/>
      </w:r>
    </w:p>
  </w:footnote>
  <w:footnote w:type="continuationSeparator" w:id="0">
    <w:p w:rsidR="006649DC" w:rsidRDefault="00664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9DC" w:rsidRDefault="006649DC">
    <w:pPr>
      <w:pStyle w:val="Header"/>
    </w:pPr>
    <w:r>
      <w:t>[Digitare il testo]</w:t>
    </w:r>
  </w:p>
  <w:p w:rsidR="006649DC" w:rsidRDefault="006649D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628D77A"/>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6"/>
    <w:lvl w:ilvl="0">
      <w:start w:val="1"/>
      <w:numFmt w:val="upperLetter"/>
      <w:lvlText w:val="%1-"/>
      <w:lvlJc w:val="left"/>
      <w:pPr>
        <w:tabs>
          <w:tab w:val="num" w:pos="708"/>
        </w:tabs>
        <w:ind w:left="720" w:hanging="360"/>
      </w:pPr>
      <w:rPr>
        <w:rFonts w:cs="Times New Roman" w:hint="default"/>
      </w:rPr>
    </w:lvl>
  </w:abstractNum>
  <w:abstractNum w:abstractNumId="4">
    <w:nsid w:val="00000005"/>
    <w:multiLevelType w:val="singleLevel"/>
    <w:tmpl w:val="00000005"/>
    <w:name w:val="WW8Num5"/>
    <w:lvl w:ilvl="0">
      <w:start w:val="1"/>
      <w:numFmt w:val="bullet"/>
      <w:lvlText w:val=""/>
      <w:lvlJc w:val="left"/>
      <w:pPr>
        <w:tabs>
          <w:tab w:val="num" w:pos="360"/>
        </w:tabs>
        <w:ind w:left="283" w:hanging="283"/>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Wingdings" w:hAnsi="Wingdings"/>
      </w:rPr>
    </w:lvl>
  </w:abstractNum>
  <w:abstractNum w:abstractNumId="6">
    <w:nsid w:val="00000008"/>
    <w:multiLevelType w:val="singleLevel"/>
    <w:tmpl w:val="00000008"/>
    <w:name w:val="WW8Num8"/>
    <w:lvl w:ilvl="0">
      <w:start w:val="1"/>
      <w:numFmt w:val="bullet"/>
      <w:lvlText w:val=""/>
      <w:lvlJc w:val="left"/>
      <w:pPr>
        <w:tabs>
          <w:tab w:val="num" w:pos="360"/>
        </w:tabs>
        <w:ind w:left="283" w:hanging="283"/>
      </w:pPr>
      <w:rPr>
        <w:rFonts w:ascii="Symbol" w:hAnsi="Symbol"/>
        <w:color w:val="auto"/>
      </w:rPr>
    </w:lvl>
  </w:abstractNum>
  <w:abstractNum w:abstractNumId="7">
    <w:nsid w:val="006E27C6"/>
    <w:multiLevelType w:val="hybridMultilevel"/>
    <w:tmpl w:val="A968862A"/>
    <w:lvl w:ilvl="0" w:tplc="3CD2BFC0">
      <w:start w:val="1"/>
      <w:numFmt w:val="decimal"/>
      <w:lvlText w:val="%1)"/>
      <w:lvlJc w:val="left"/>
      <w:pPr>
        <w:ind w:left="945" w:hanging="58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061D4168"/>
    <w:multiLevelType w:val="multilevel"/>
    <w:tmpl w:val="FD24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FE4223"/>
    <w:multiLevelType w:val="multilevel"/>
    <w:tmpl w:val="19C2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A4D4D"/>
    <w:multiLevelType w:val="singleLevel"/>
    <w:tmpl w:val="420E6278"/>
    <w:name w:val="WW8Num322"/>
    <w:lvl w:ilvl="0">
      <w:start w:val="1"/>
      <w:numFmt w:val="bullet"/>
      <w:lvlText w:val=""/>
      <w:lvlJc w:val="left"/>
      <w:pPr>
        <w:tabs>
          <w:tab w:val="num" w:pos="360"/>
        </w:tabs>
        <w:ind w:left="283" w:hanging="283"/>
      </w:pPr>
      <w:rPr>
        <w:rFonts w:ascii="Symbol" w:hAnsi="Symbol" w:hint="default"/>
        <w:color w:val="auto"/>
      </w:rPr>
    </w:lvl>
  </w:abstractNum>
  <w:abstractNum w:abstractNumId="11">
    <w:nsid w:val="1CFD3CB5"/>
    <w:multiLevelType w:val="hybridMultilevel"/>
    <w:tmpl w:val="68B200C2"/>
    <w:name w:val="WW8Num10222"/>
    <w:lvl w:ilvl="0" w:tplc="DD2A1E96">
      <w:start w:val="1"/>
      <w:numFmt w:val="bullet"/>
      <w:lvlText w:val=""/>
      <w:lvlJc w:val="left"/>
      <w:pPr>
        <w:tabs>
          <w:tab w:val="num" w:pos="491"/>
        </w:tabs>
        <w:ind w:left="491" w:hanging="426"/>
      </w:pPr>
      <w:rPr>
        <w:rFonts w:ascii="Wingdings" w:hAnsi="Wingdings" w:hint="default"/>
        <w:b w:val="0"/>
        <w:i w:val="0"/>
        <w:sz w:val="22"/>
      </w:rPr>
    </w:lvl>
    <w:lvl w:ilvl="1" w:tplc="A90EED20">
      <w:start w:val="1"/>
      <w:numFmt w:val="decimal"/>
      <w:lvlText w:val="%2."/>
      <w:lvlJc w:val="left"/>
      <w:pPr>
        <w:tabs>
          <w:tab w:val="num" w:pos="1440"/>
        </w:tabs>
        <w:ind w:left="1440" w:hanging="360"/>
      </w:pPr>
      <w:rPr>
        <w:rFonts w:cs="Times New Roman"/>
      </w:rPr>
    </w:lvl>
    <w:lvl w:ilvl="2" w:tplc="A532F746">
      <w:start w:val="1"/>
      <w:numFmt w:val="decimal"/>
      <w:lvlText w:val="%3."/>
      <w:lvlJc w:val="left"/>
      <w:pPr>
        <w:tabs>
          <w:tab w:val="num" w:pos="2160"/>
        </w:tabs>
        <w:ind w:left="2160" w:hanging="360"/>
      </w:pPr>
      <w:rPr>
        <w:rFonts w:cs="Times New Roman"/>
      </w:rPr>
    </w:lvl>
    <w:lvl w:ilvl="3" w:tplc="B9800546">
      <w:start w:val="1"/>
      <w:numFmt w:val="decimal"/>
      <w:lvlText w:val="%4."/>
      <w:lvlJc w:val="left"/>
      <w:pPr>
        <w:tabs>
          <w:tab w:val="num" w:pos="2880"/>
        </w:tabs>
        <w:ind w:left="2880" w:hanging="360"/>
      </w:pPr>
      <w:rPr>
        <w:rFonts w:cs="Times New Roman"/>
      </w:rPr>
    </w:lvl>
    <w:lvl w:ilvl="4" w:tplc="A4560BB2">
      <w:start w:val="1"/>
      <w:numFmt w:val="decimal"/>
      <w:lvlText w:val="%5."/>
      <w:lvlJc w:val="left"/>
      <w:pPr>
        <w:tabs>
          <w:tab w:val="num" w:pos="3600"/>
        </w:tabs>
        <w:ind w:left="3600" w:hanging="360"/>
      </w:pPr>
      <w:rPr>
        <w:rFonts w:cs="Times New Roman"/>
      </w:rPr>
    </w:lvl>
    <w:lvl w:ilvl="5" w:tplc="0EE83DC8">
      <w:start w:val="1"/>
      <w:numFmt w:val="decimal"/>
      <w:lvlText w:val="%6."/>
      <w:lvlJc w:val="left"/>
      <w:pPr>
        <w:tabs>
          <w:tab w:val="num" w:pos="4320"/>
        </w:tabs>
        <w:ind w:left="4320" w:hanging="360"/>
      </w:pPr>
      <w:rPr>
        <w:rFonts w:cs="Times New Roman"/>
      </w:rPr>
    </w:lvl>
    <w:lvl w:ilvl="6" w:tplc="9468E564">
      <w:start w:val="1"/>
      <w:numFmt w:val="decimal"/>
      <w:lvlText w:val="%7."/>
      <w:lvlJc w:val="left"/>
      <w:pPr>
        <w:tabs>
          <w:tab w:val="num" w:pos="5040"/>
        </w:tabs>
        <w:ind w:left="5040" w:hanging="360"/>
      </w:pPr>
      <w:rPr>
        <w:rFonts w:cs="Times New Roman"/>
      </w:rPr>
    </w:lvl>
    <w:lvl w:ilvl="7" w:tplc="D9621FA2">
      <w:start w:val="1"/>
      <w:numFmt w:val="decimal"/>
      <w:lvlText w:val="%8."/>
      <w:lvlJc w:val="left"/>
      <w:pPr>
        <w:tabs>
          <w:tab w:val="num" w:pos="5760"/>
        </w:tabs>
        <w:ind w:left="5760" w:hanging="360"/>
      </w:pPr>
      <w:rPr>
        <w:rFonts w:cs="Times New Roman"/>
      </w:rPr>
    </w:lvl>
    <w:lvl w:ilvl="8" w:tplc="FAAADAC2">
      <w:start w:val="1"/>
      <w:numFmt w:val="decimal"/>
      <w:lvlText w:val="%9."/>
      <w:lvlJc w:val="left"/>
      <w:pPr>
        <w:tabs>
          <w:tab w:val="num" w:pos="6480"/>
        </w:tabs>
        <w:ind w:left="6480" w:hanging="360"/>
      </w:pPr>
      <w:rPr>
        <w:rFonts w:cs="Times New Roman"/>
      </w:rPr>
    </w:lvl>
  </w:abstractNum>
  <w:abstractNum w:abstractNumId="12">
    <w:nsid w:val="20813C5A"/>
    <w:multiLevelType w:val="hybridMultilevel"/>
    <w:tmpl w:val="68A02E86"/>
    <w:lvl w:ilvl="0" w:tplc="1714E25A">
      <w:start w:val="1"/>
      <w:numFmt w:val="bullet"/>
      <w:pStyle w:val="tit3"/>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3">
    <w:nsid w:val="25D04C6A"/>
    <w:multiLevelType w:val="hybridMultilevel"/>
    <w:tmpl w:val="A9CA3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7345B8"/>
    <w:multiLevelType w:val="hybridMultilevel"/>
    <w:tmpl w:val="0C102488"/>
    <w:lvl w:ilvl="0" w:tplc="48EC04EC">
      <w:start w:val="2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2A570D4D"/>
    <w:multiLevelType w:val="hybridMultilevel"/>
    <w:tmpl w:val="AACA808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2C9171ED"/>
    <w:multiLevelType w:val="hybridMultilevel"/>
    <w:tmpl w:val="CE369EC2"/>
    <w:lvl w:ilvl="0" w:tplc="76589208">
      <w:start w:val="3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2D5300F1"/>
    <w:multiLevelType w:val="hybridMultilevel"/>
    <w:tmpl w:val="A9944178"/>
    <w:lvl w:ilvl="0" w:tplc="FE12A3CC">
      <w:start w:val="1"/>
      <w:numFmt w:val="bullet"/>
      <w:lvlText w:val="-"/>
      <w:lvlJc w:val="left"/>
      <w:pPr>
        <w:tabs>
          <w:tab w:val="num" w:pos="720"/>
        </w:tabs>
        <w:ind w:left="720" w:hanging="360"/>
      </w:pPr>
      <w:rPr>
        <w:rFonts w:ascii="Times New Roman" w:hAnsi="Times New Roman" w:hint="default"/>
      </w:rPr>
    </w:lvl>
    <w:lvl w:ilvl="1" w:tplc="325C5E34" w:tentative="1">
      <w:start w:val="1"/>
      <w:numFmt w:val="bullet"/>
      <w:lvlText w:val="-"/>
      <w:lvlJc w:val="left"/>
      <w:pPr>
        <w:tabs>
          <w:tab w:val="num" w:pos="1440"/>
        </w:tabs>
        <w:ind w:left="1440" w:hanging="360"/>
      </w:pPr>
      <w:rPr>
        <w:rFonts w:ascii="Times New Roman" w:hAnsi="Times New Roman" w:hint="default"/>
      </w:rPr>
    </w:lvl>
    <w:lvl w:ilvl="2" w:tplc="7A56A314" w:tentative="1">
      <w:start w:val="1"/>
      <w:numFmt w:val="bullet"/>
      <w:lvlText w:val="-"/>
      <w:lvlJc w:val="left"/>
      <w:pPr>
        <w:tabs>
          <w:tab w:val="num" w:pos="2160"/>
        </w:tabs>
        <w:ind w:left="2160" w:hanging="360"/>
      </w:pPr>
      <w:rPr>
        <w:rFonts w:ascii="Times New Roman" w:hAnsi="Times New Roman" w:hint="default"/>
      </w:rPr>
    </w:lvl>
    <w:lvl w:ilvl="3" w:tplc="B48E23EC" w:tentative="1">
      <w:start w:val="1"/>
      <w:numFmt w:val="bullet"/>
      <w:lvlText w:val="-"/>
      <w:lvlJc w:val="left"/>
      <w:pPr>
        <w:tabs>
          <w:tab w:val="num" w:pos="2880"/>
        </w:tabs>
        <w:ind w:left="2880" w:hanging="360"/>
      </w:pPr>
      <w:rPr>
        <w:rFonts w:ascii="Times New Roman" w:hAnsi="Times New Roman" w:hint="default"/>
      </w:rPr>
    </w:lvl>
    <w:lvl w:ilvl="4" w:tplc="5858B9CA" w:tentative="1">
      <w:start w:val="1"/>
      <w:numFmt w:val="bullet"/>
      <w:lvlText w:val="-"/>
      <w:lvlJc w:val="left"/>
      <w:pPr>
        <w:tabs>
          <w:tab w:val="num" w:pos="3600"/>
        </w:tabs>
        <w:ind w:left="3600" w:hanging="360"/>
      </w:pPr>
      <w:rPr>
        <w:rFonts w:ascii="Times New Roman" w:hAnsi="Times New Roman" w:hint="default"/>
      </w:rPr>
    </w:lvl>
    <w:lvl w:ilvl="5" w:tplc="147E997A" w:tentative="1">
      <w:start w:val="1"/>
      <w:numFmt w:val="bullet"/>
      <w:lvlText w:val="-"/>
      <w:lvlJc w:val="left"/>
      <w:pPr>
        <w:tabs>
          <w:tab w:val="num" w:pos="4320"/>
        </w:tabs>
        <w:ind w:left="4320" w:hanging="360"/>
      </w:pPr>
      <w:rPr>
        <w:rFonts w:ascii="Times New Roman" w:hAnsi="Times New Roman" w:hint="default"/>
      </w:rPr>
    </w:lvl>
    <w:lvl w:ilvl="6" w:tplc="875669F0" w:tentative="1">
      <w:start w:val="1"/>
      <w:numFmt w:val="bullet"/>
      <w:lvlText w:val="-"/>
      <w:lvlJc w:val="left"/>
      <w:pPr>
        <w:tabs>
          <w:tab w:val="num" w:pos="5040"/>
        </w:tabs>
        <w:ind w:left="5040" w:hanging="360"/>
      </w:pPr>
      <w:rPr>
        <w:rFonts w:ascii="Times New Roman" w:hAnsi="Times New Roman" w:hint="default"/>
      </w:rPr>
    </w:lvl>
    <w:lvl w:ilvl="7" w:tplc="9B882D62" w:tentative="1">
      <w:start w:val="1"/>
      <w:numFmt w:val="bullet"/>
      <w:lvlText w:val="-"/>
      <w:lvlJc w:val="left"/>
      <w:pPr>
        <w:tabs>
          <w:tab w:val="num" w:pos="5760"/>
        </w:tabs>
        <w:ind w:left="5760" w:hanging="360"/>
      </w:pPr>
      <w:rPr>
        <w:rFonts w:ascii="Times New Roman" w:hAnsi="Times New Roman" w:hint="default"/>
      </w:rPr>
    </w:lvl>
    <w:lvl w:ilvl="8" w:tplc="9032719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26E73A2"/>
    <w:multiLevelType w:val="hybridMultilevel"/>
    <w:tmpl w:val="2FAE7B0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2C746FA"/>
    <w:multiLevelType w:val="multilevel"/>
    <w:tmpl w:val="3C26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A50FF9"/>
    <w:multiLevelType w:val="multilevel"/>
    <w:tmpl w:val="0A30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1904D0"/>
    <w:multiLevelType w:val="singleLevel"/>
    <w:tmpl w:val="04100005"/>
    <w:name w:val="WW8Num92"/>
    <w:lvl w:ilvl="0">
      <w:start w:val="1"/>
      <w:numFmt w:val="bullet"/>
      <w:lvlText w:val=""/>
      <w:lvlJc w:val="left"/>
      <w:pPr>
        <w:tabs>
          <w:tab w:val="num" w:pos="360"/>
        </w:tabs>
        <w:ind w:left="360" w:hanging="360"/>
      </w:pPr>
      <w:rPr>
        <w:rFonts w:ascii="Wingdings" w:hAnsi="Wingdings" w:hint="default"/>
      </w:rPr>
    </w:lvl>
  </w:abstractNum>
  <w:abstractNum w:abstractNumId="22">
    <w:nsid w:val="3A6148E3"/>
    <w:multiLevelType w:val="hybridMultilevel"/>
    <w:tmpl w:val="2FAE7B0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3A633414"/>
    <w:multiLevelType w:val="singleLevel"/>
    <w:tmpl w:val="420E6278"/>
    <w:name w:val="WW8Num102"/>
    <w:lvl w:ilvl="0">
      <w:start w:val="1"/>
      <w:numFmt w:val="bullet"/>
      <w:lvlText w:val=""/>
      <w:lvlJc w:val="left"/>
      <w:pPr>
        <w:tabs>
          <w:tab w:val="num" w:pos="360"/>
        </w:tabs>
        <w:ind w:left="283" w:hanging="283"/>
      </w:pPr>
      <w:rPr>
        <w:rFonts w:ascii="Symbol" w:hAnsi="Symbol" w:hint="default"/>
        <w:color w:val="auto"/>
      </w:rPr>
    </w:lvl>
  </w:abstractNum>
  <w:abstractNum w:abstractNumId="24">
    <w:nsid w:val="3F415C0E"/>
    <w:multiLevelType w:val="multilevel"/>
    <w:tmpl w:val="B01C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ED50DD"/>
    <w:multiLevelType w:val="multilevel"/>
    <w:tmpl w:val="F90A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3C18D2"/>
    <w:multiLevelType w:val="multilevel"/>
    <w:tmpl w:val="BCD0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977FEE"/>
    <w:multiLevelType w:val="multilevel"/>
    <w:tmpl w:val="2FBC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395D07"/>
    <w:multiLevelType w:val="hybridMultilevel"/>
    <w:tmpl w:val="1B445BC2"/>
    <w:lvl w:ilvl="0" w:tplc="66E4AC5A">
      <w:start w:val="1"/>
      <w:numFmt w:val="bullet"/>
      <w:pStyle w:val="txpallino"/>
      <w:lvlText w:val=""/>
      <w:lvlJc w:val="left"/>
      <w:pPr>
        <w:ind w:left="720" w:hanging="360"/>
      </w:pPr>
      <w:rPr>
        <w:rFonts w:ascii="Symbol" w:hAnsi="Symbol" w:hint="default"/>
        <w:spacing w:val="0"/>
        <w:w w:val="100"/>
        <w:position w:val="0"/>
      </w:rPr>
    </w:lvl>
    <w:lvl w:ilvl="1" w:tplc="7770A41A">
      <w:numFmt w:val="bullet"/>
      <w:lvlText w:val="-"/>
      <w:lvlJc w:val="left"/>
      <w:pPr>
        <w:ind w:left="1455" w:hanging="375"/>
      </w:pPr>
      <w:rPr>
        <w:rFonts w:ascii="Calibri" w:eastAsia="Times New Roman" w:hAnsi="Calibri" w:hint="default"/>
        <w:color w:val="1F497D"/>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2571A43"/>
    <w:multiLevelType w:val="multilevel"/>
    <w:tmpl w:val="73E6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B65AEB"/>
    <w:multiLevelType w:val="hybridMultilevel"/>
    <w:tmpl w:val="5D841470"/>
    <w:lvl w:ilvl="0" w:tplc="AD24BF90">
      <w:numFmt w:val="bullet"/>
      <w:lvlText w:val="–"/>
      <w:lvlJc w:val="left"/>
      <w:pPr>
        <w:tabs>
          <w:tab w:val="num" w:pos="360"/>
        </w:tabs>
        <w:ind w:left="227" w:hanging="227"/>
      </w:pPr>
      <w:rPr>
        <w:b w:val="0"/>
        <w:i w:val="0"/>
        <w:sz w:val="22"/>
      </w:rPr>
    </w:lvl>
    <w:lvl w:ilvl="1" w:tplc="6B7A9DB2">
      <w:start w:val="1"/>
      <w:numFmt w:val="bullet"/>
      <w:pStyle w:val="RIFERIMENTI"/>
      <w:lvlText w:val=""/>
      <w:lvlJc w:val="left"/>
      <w:pPr>
        <w:tabs>
          <w:tab w:val="num" w:pos="1440"/>
        </w:tabs>
        <w:ind w:left="1363" w:hanging="283"/>
      </w:pPr>
      <w:rPr>
        <w:rFonts w:ascii="Symbol" w:hAnsi="Symbol" w:hint="default"/>
      </w:rPr>
    </w:lvl>
    <w:lvl w:ilvl="2" w:tplc="4A843D7C">
      <w:start w:val="1"/>
      <w:numFmt w:val="bullet"/>
      <w:lvlText w:val=""/>
      <w:lvlJc w:val="left"/>
      <w:pPr>
        <w:tabs>
          <w:tab w:val="num" w:pos="2160"/>
        </w:tabs>
        <w:ind w:left="2160" w:hanging="360"/>
      </w:pPr>
      <w:rPr>
        <w:rFonts w:ascii="Wingdings" w:hAnsi="Wingdings" w:hint="default"/>
      </w:rPr>
    </w:lvl>
    <w:lvl w:ilvl="3" w:tplc="2ED4CD1A">
      <w:start w:val="1"/>
      <w:numFmt w:val="decimal"/>
      <w:lvlText w:val="%4."/>
      <w:lvlJc w:val="left"/>
      <w:pPr>
        <w:tabs>
          <w:tab w:val="num" w:pos="2880"/>
        </w:tabs>
        <w:ind w:left="2880" w:hanging="360"/>
      </w:pPr>
      <w:rPr>
        <w:rFonts w:cs="Times New Roman"/>
      </w:rPr>
    </w:lvl>
    <w:lvl w:ilvl="4" w:tplc="DA28DC22">
      <w:start w:val="1"/>
      <w:numFmt w:val="decimal"/>
      <w:lvlText w:val="%5."/>
      <w:lvlJc w:val="left"/>
      <w:pPr>
        <w:tabs>
          <w:tab w:val="num" w:pos="3600"/>
        </w:tabs>
        <w:ind w:left="3600" w:hanging="360"/>
      </w:pPr>
      <w:rPr>
        <w:rFonts w:cs="Times New Roman"/>
      </w:rPr>
    </w:lvl>
    <w:lvl w:ilvl="5" w:tplc="855A3A2A">
      <w:start w:val="1"/>
      <w:numFmt w:val="decimal"/>
      <w:lvlText w:val="%6."/>
      <w:lvlJc w:val="left"/>
      <w:pPr>
        <w:tabs>
          <w:tab w:val="num" w:pos="4320"/>
        </w:tabs>
        <w:ind w:left="4320" w:hanging="360"/>
      </w:pPr>
      <w:rPr>
        <w:rFonts w:cs="Times New Roman"/>
      </w:rPr>
    </w:lvl>
    <w:lvl w:ilvl="6" w:tplc="BB7ACE00">
      <w:start w:val="1"/>
      <w:numFmt w:val="decimal"/>
      <w:lvlText w:val="%7."/>
      <w:lvlJc w:val="left"/>
      <w:pPr>
        <w:tabs>
          <w:tab w:val="num" w:pos="5040"/>
        </w:tabs>
        <w:ind w:left="5040" w:hanging="360"/>
      </w:pPr>
      <w:rPr>
        <w:rFonts w:cs="Times New Roman"/>
      </w:rPr>
    </w:lvl>
    <w:lvl w:ilvl="7" w:tplc="4BB84F1C">
      <w:start w:val="1"/>
      <w:numFmt w:val="decimal"/>
      <w:lvlText w:val="%8."/>
      <w:lvlJc w:val="left"/>
      <w:pPr>
        <w:tabs>
          <w:tab w:val="num" w:pos="5760"/>
        </w:tabs>
        <w:ind w:left="5760" w:hanging="360"/>
      </w:pPr>
      <w:rPr>
        <w:rFonts w:cs="Times New Roman"/>
      </w:rPr>
    </w:lvl>
    <w:lvl w:ilvl="8" w:tplc="36AAA67C">
      <w:start w:val="1"/>
      <w:numFmt w:val="decimal"/>
      <w:lvlText w:val="%9."/>
      <w:lvlJc w:val="left"/>
      <w:pPr>
        <w:tabs>
          <w:tab w:val="num" w:pos="6480"/>
        </w:tabs>
        <w:ind w:left="6480" w:hanging="360"/>
      </w:pPr>
      <w:rPr>
        <w:rFonts w:cs="Times New Roman"/>
      </w:rPr>
    </w:lvl>
  </w:abstractNum>
  <w:abstractNum w:abstractNumId="31">
    <w:nsid w:val="582E1487"/>
    <w:multiLevelType w:val="multilevel"/>
    <w:tmpl w:val="4D92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D22301"/>
    <w:multiLevelType w:val="multilevel"/>
    <w:tmpl w:val="25E2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835D11"/>
    <w:multiLevelType w:val="multilevel"/>
    <w:tmpl w:val="2492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373ECF"/>
    <w:multiLevelType w:val="hybridMultilevel"/>
    <w:tmpl w:val="421CA1C0"/>
    <w:lvl w:ilvl="0" w:tplc="255A410E">
      <w:start w:val="2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5E8B5322"/>
    <w:multiLevelType w:val="hybridMultilevel"/>
    <w:tmpl w:val="1128910E"/>
    <w:name w:val="WW8Num1022"/>
    <w:lvl w:ilvl="0" w:tplc="3E12B77E">
      <w:start w:val="1"/>
      <w:numFmt w:val="bullet"/>
      <w:lvlText w:val=""/>
      <w:lvlJc w:val="left"/>
      <w:pPr>
        <w:tabs>
          <w:tab w:val="num" w:pos="426"/>
        </w:tabs>
        <w:ind w:left="426" w:hanging="426"/>
      </w:pPr>
      <w:rPr>
        <w:rFonts w:ascii="Wingdings" w:hAnsi="Wingdings" w:hint="default"/>
        <w:b w:val="0"/>
        <w:i w:val="0"/>
        <w:sz w:val="22"/>
      </w:rPr>
    </w:lvl>
    <w:lvl w:ilvl="1" w:tplc="E36E7742">
      <w:start w:val="1"/>
      <w:numFmt w:val="decimal"/>
      <w:lvlText w:val="%2."/>
      <w:lvlJc w:val="left"/>
      <w:pPr>
        <w:tabs>
          <w:tab w:val="num" w:pos="1440"/>
        </w:tabs>
        <w:ind w:left="1440" w:hanging="360"/>
      </w:pPr>
      <w:rPr>
        <w:rFonts w:cs="Times New Roman"/>
      </w:rPr>
    </w:lvl>
    <w:lvl w:ilvl="2" w:tplc="BDDEA1D2">
      <w:start w:val="1"/>
      <w:numFmt w:val="decimal"/>
      <w:lvlText w:val="%3."/>
      <w:lvlJc w:val="left"/>
      <w:pPr>
        <w:tabs>
          <w:tab w:val="num" w:pos="2160"/>
        </w:tabs>
        <w:ind w:left="2160" w:hanging="360"/>
      </w:pPr>
      <w:rPr>
        <w:rFonts w:cs="Times New Roman"/>
      </w:rPr>
    </w:lvl>
    <w:lvl w:ilvl="3" w:tplc="783AD550">
      <w:start w:val="1"/>
      <w:numFmt w:val="decimal"/>
      <w:lvlText w:val="%4."/>
      <w:lvlJc w:val="left"/>
      <w:pPr>
        <w:tabs>
          <w:tab w:val="num" w:pos="2880"/>
        </w:tabs>
        <w:ind w:left="2880" w:hanging="360"/>
      </w:pPr>
      <w:rPr>
        <w:rFonts w:cs="Times New Roman"/>
      </w:rPr>
    </w:lvl>
    <w:lvl w:ilvl="4" w:tplc="F4E8EA1C">
      <w:start w:val="1"/>
      <w:numFmt w:val="decimal"/>
      <w:lvlText w:val="%5."/>
      <w:lvlJc w:val="left"/>
      <w:pPr>
        <w:tabs>
          <w:tab w:val="num" w:pos="3600"/>
        </w:tabs>
        <w:ind w:left="3600" w:hanging="360"/>
      </w:pPr>
      <w:rPr>
        <w:rFonts w:cs="Times New Roman"/>
      </w:rPr>
    </w:lvl>
    <w:lvl w:ilvl="5" w:tplc="D662025C">
      <w:start w:val="1"/>
      <w:numFmt w:val="decimal"/>
      <w:lvlText w:val="%6."/>
      <w:lvlJc w:val="left"/>
      <w:pPr>
        <w:tabs>
          <w:tab w:val="num" w:pos="4320"/>
        </w:tabs>
        <w:ind w:left="4320" w:hanging="360"/>
      </w:pPr>
      <w:rPr>
        <w:rFonts w:cs="Times New Roman"/>
      </w:rPr>
    </w:lvl>
    <w:lvl w:ilvl="6" w:tplc="C5D6597C">
      <w:start w:val="1"/>
      <w:numFmt w:val="decimal"/>
      <w:lvlText w:val="%7."/>
      <w:lvlJc w:val="left"/>
      <w:pPr>
        <w:tabs>
          <w:tab w:val="num" w:pos="5040"/>
        </w:tabs>
        <w:ind w:left="5040" w:hanging="360"/>
      </w:pPr>
      <w:rPr>
        <w:rFonts w:cs="Times New Roman"/>
      </w:rPr>
    </w:lvl>
    <w:lvl w:ilvl="7" w:tplc="4A5E822C">
      <w:start w:val="1"/>
      <w:numFmt w:val="decimal"/>
      <w:lvlText w:val="%8."/>
      <w:lvlJc w:val="left"/>
      <w:pPr>
        <w:tabs>
          <w:tab w:val="num" w:pos="5760"/>
        </w:tabs>
        <w:ind w:left="5760" w:hanging="360"/>
      </w:pPr>
      <w:rPr>
        <w:rFonts w:cs="Times New Roman"/>
      </w:rPr>
    </w:lvl>
    <w:lvl w:ilvl="8" w:tplc="5A445BBC">
      <w:start w:val="1"/>
      <w:numFmt w:val="decimal"/>
      <w:lvlText w:val="%9."/>
      <w:lvlJc w:val="left"/>
      <w:pPr>
        <w:tabs>
          <w:tab w:val="num" w:pos="6480"/>
        </w:tabs>
        <w:ind w:left="6480" w:hanging="360"/>
      </w:pPr>
      <w:rPr>
        <w:rFonts w:cs="Times New Roman"/>
      </w:rPr>
    </w:lvl>
  </w:abstractNum>
  <w:abstractNum w:abstractNumId="36">
    <w:nsid w:val="609C13DA"/>
    <w:multiLevelType w:val="hybridMultilevel"/>
    <w:tmpl w:val="8F88EF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67A03525"/>
    <w:multiLevelType w:val="hybridMultilevel"/>
    <w:tmpl w:val="1CC2BB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6EC84FFC"/>
    <w:multiLevelType w:val="multilevel"/>
    <w:tmpl w:val="755A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CD7EA0"/>
    <w:multiLevelType w:val="hybridMultilevel"/>
    <w:tmpl w:val="5A6E9A62"/>
    <w:lvl w:ilvl="0" w:tplc="3CE0D5F2">
      <w:start w:val="28"/>
      <w:numFmt w:val="decimal"/>
      <w:lvlText w:val="%1"/>
      <w:lvlJc w:val="left"/>
      <w:pPr>
        <w:ind w:left="720" w:hanging="360"/>
      </w:pPr>
      <w:rPr>
        <w:rFonts w:cs="Times New Roman" w:hint="default"/>
        <w:u w:val="singl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7BC053C6"/>
    <w:multiLevelType w:val="hybridMultilevel"/>
    <w:tmpl w:val="3B0A58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8"/>
  </w:num>
  <w:num w:numId="6">
    <w:abstractNumId w:val="12"/>
  </w:num>
  <w:num w:numId="7">
    <w:abstractNumId w:val="8"/>
  </w:num>
  <w:num w:numId="8">
    <w:abstractNumId w:val="32"/>
  </w:num>
  <w:num w:numId="9">
    <w:abstractNumId w:val="25"/>
  </w:num>
  <w:num w:numId="10">
    <w:abstractNumId w:val="26"/>
  </w:num>
  <w:num w:numId="11">
    <w:abstractNumId w:val="27"/>
  </w:num>
  <w:num w:numId="12">
    <w:abstractNumId w:val="15"/>
  </w:num>
  <w:num w:numId="13">
    <w:abstractNumId w:val="29"/>
  </w:num>
  <w:num w:numId="14">
    <w:abstractNumId w:val="31"/>
  </w:num>
  <w:num w:numId="15">
    <w:abstractNumId w:val="38"/>
  </w:num>
  <w:num w:numId="16">
    <w:abstractNumId w:val="20"/>
  </w:num>
  <w:num w:numId="17">
    <w:abstractNumId w:val="9"/>
  </w:num>
  <w:num w:numId="18">
    <w:abstractNumId w:val="19"/>
  </w:num>
  <w:num w:numId="19">
    <w:abstractNumId w:val="16"/>
  </w:num>
  <w:num w:numId="20">
    <w:abstractNumId w:val="40"/>
  </w:num>
  <w:num w:numId="21">
    <w:abstractNumId w:val="13"/>
  </w:num>
  <w:num w:numId="22">
    <w:abstractNumId w:val="24"/>
  </w:num>
  <w:num w:numId="23">
    <w:abstractNumId w:val="33"/>
  </w:num>
  <w:num w:numId="24">
    <w:abstractNumId w:val="7"/>
  </w:num>
  <w:num w:numId="25">
    <w:abstractNumId w:val="14"/>
  </w:num>
  <w:num w:numId="26">
    <w:abstractNumId w:val="34"/>
  </w:num>
  <w:num w:numId="27">
    <w:abstractNumId w:val="39"/>
  </w:num>
  <w:num w:numId="28">
    <w:abstractNumId w:val="37"/>
  </w:num>
  <w:num w:numId="29">
    <w:abstractNumId w:val="36"/>
  </w:num>
  <w:num w:numId="30">
    <w:abstractNumId w:val="17"/>
  </w:num>
  <w:num w:numId="31">
    <w:abstractNumId w:val="22"/>
  </w:num>
  <w:num w:numId="32">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14B5"/>
    <w:rsid w:val="00000381"/>
    <w:rsid w:val="00000C12"/>
    <w:rsid w:val="00003F0D"/>
    <w:rsid w:val="00004503"/>
    <w:rsid w:val="00004C7F"/>
    <w:rsid w:val="000055B1"/>
    <w:rsid w:val="000057FC"/>
    <w:rsid w:val="00006142"/>
    <w:rsid w:val="000062AF"/>
    <w:rsid w:val="0000681E"/>
    <w:rsid w:val="00006C65"/>
    <w:rsid w:val="00007664"/>
    <w:rsid w:val="0000779B"/>
    <w:rsid w:val="00007EE4"/>
    <w:rsid w:val="00010644"/>
    <w:rsid w:val="00010830"/>
    <w:rsid w:val="000108A3"/>
    <w:rsid w:val="00010B35"/>
    <w:rsid w:val="000113AD"/>
    <w:rsid w:val="00011CB0"/>
    <w:rsid w:val="00012BAD"/>
    <w:rsid w:val="000130C8"/>
    <w:rsid w:val="0001374C"/>
    <w:rsid w:val="000140C9"/>
    <w:rsid w:val="00015829"/>
    <w:rsid w:val="000164D4"/>
    <w:rsid w:val="00016BB3"/>
    <w:rsid w:val="00017103"/>
    <w:rsid w:val="0001716A"/>
    <w:rsid w:val="0001790E"/>
    <w:rsid w:val="00017A42"/>
    <w:rsid w:val="000209A0"/>
    <w:rsid w:val="000218FB"/>
    <w:rsid w:val="00021BCA"/>
    <w:rsid w:val="0002305F"/>
    <w:rsid w:val="000231FF"/>
    <w:rsid w:val="00023B54"/>
    <w:rsid w:val="000250A3"/>
    <w:rsid w:val="00025B67"/>
    <w:rsid w:val="00025CB1"/>
    <w:rsid w:val="00025DDD"/>
    <w:rsid w:val="00026BDD"/>
    <w:rsid w:val="0002737E"/>
    <w:rsid w:val="00027610"/>
    <w:rsid w:val="000315FE"/>
    <w:rsid w:val="00032BDF"/>
    <w:rsid w:val="0003319C"/>
    <w:rsid w:val="00033415"/>
    <w:rsid w:val="00033BA9"/>
    <w:rsid w:val="00033BB3"/>
    <w:rsid w:val="00033FDE"/>
    <w:rsid w:val="00034531"/>
    <w:rsid w:val="00034BFE"/>
    <w:rsid w:val="0003576D"/>
    <w:rsid w:val="00035981"/>
    <w:rsid w:val="00035A6C"/>
    <w:rsid w:val="00037174"/>
    <w:rsid w:val="00037E6F"/>
    <w:rsid w:val="00040AB2"/>
    <w:rsid w:val="00041DF3"/>
    <w:rsid w:val="00042B10"/>
    <w:rsid w:val="00043662"/>
    <w:rsid w:val="00044744"/>
    <w:rsid w:val="0004599C"/>
    <w:rsid w:val="000462AA"/>
    <w:rsid w:val="0004755B"/>
    <w:rsid w:val="00047ABD"/>
    <w:rsid w:val="00047CBD"/>
    <w:rsid w:val="000502FE"/>
    <w:rsid w:val="0005092B"/>
    <w:rsid w:val="000517B1"/>
    <w:rsid w:val="000518EB"/>
    <w:rsid w:val="00052766"/>
    <w:rsid w:val="00053187"/>
    <w:rsid w:val="00053F58"/>
    <w:rsid w:val="00054344"/>
    <w:rsid w:val="000545F2"/>
    <w:rsid w:val="00055805"/>
    <w:rsid w:val="00055BCF"/>
    <w:rsid w:val="00055C34"/>
    <w:rsid w:val="000564FE"/>
    <w:rsid w:val="00056908"/>
    <w:rsid w:val="00057047"/>
    <w:rsid w:val="0005767C"/>
    <w:rsid w:val="00057917"/>
    <w:rsid w:val="0006074E"/>
    <w:rsid w:val="000612EC"/>
    <w:rsid w:val="00061956"/>
    <w:rsid w:val="00061AE9"/>
    <w:rsid w:val="00062179"/>
    <w:rsid w:val="00062779"/>
    <w:rsid w:val="00063151"/>
    <w:rsid w:val="00064049"/>
    <w:rsid w:val="000641BE"/>
    <w:rsid w:val="000647E5"/>
    <w:rsid w:val="00066CDD"/>
    <w:rsid w:val="00070741"/>
    <w:rsid w:val="00071C65"/>
    <w:rsid w:val="00071D2C"/>
    <w:rsid w:val="00072BC8"/>
    <w:rsid w:val="00072EEF"/>
    <w:rsid w:val="0007300A"/>
    <w:rsid w:val="000744B1"/>
    <w:rsid w:val="0007524E"/>
    <w:rsid w:val="000754B2"/>
    <w:rsid w:val="000755F3"/>
    <w:rsid w:val="00075917"/>
    <w:rsid w:val="00075CDC"/>
    <w:rsid w:val="000760DC"/>
    <w:rsid w:val="00076C9A"/>
    <w:rsid w:val="00076DAC"/>
    <w:rsid w:val="000770AE"/>
    <w:rsid w:val="000771F7"/>
    <w:rsid w:val="00081CE5"/>
    <w:rsid w:val="00081E0D"/>
    <w:rsid w:val="0008209F"/>
    <w:rsid w:val="000821EF"/>
    <w:rsid w:val="00084A27"/>
    <w:rsid w:val="00084E48"/>
    <w:rsid w:val="00085BA0"/>
    <w:rsid w:val="00086166"/>
    <w:rsid w:val="000862FF"/>
    <w:rsid w:val="00086B98"/>
    <w:rsid w:val="00090585"/>
    <w:rsid w:val="0009076F"/>
    <w:rsid w:val="00090FD7"/>
    <w:rsid w:val="00091372"/>
    <w:rsid w:val="000917A8"/>
    <w:rsid w:val="000923BE"/>
    <w:rsid w:val="000927A9"/>
    <w:rsid w:val="0009317E"/>
    <w:rsid w:val="000933AC"/>
    <w:rsid w:val="00093812"/>
    <w:rsid w:val="00093D55"/>
    <w:rsid w:val="00094922"/>
    <w:rsid w:val="00094EFB"/>
    <w:rsid w:val="00094F8C"/>
    <w:rsid w:val="00095AA1"/>
    <w:rsid w:val="00095F2D"/>
    <w:rsid w:val="00096198"/>
    <w:rsid w:val="0009679F"/>
    <w:rsid w:val="000977BE"/>
    <w:rsid w:val="000A07CE"/>
    <w:rsid w:val="000A1693"/>
    <w:rsid w:val="000A1AC6"/>
    <w:rsid w:val="000A1F4D"/>
    <w:rsid w:val="000A27EA"/>
    <w:rsid w:val="000A3775"/>
    <w:rsid w:val="000A39B2"/>
    <w:rsid w:val="000A3CCB"/>
    <w:rsid w:val="000A52B4"/>
    <w:rsid w:val="000A6120"/>
    <w:rsid w:val="000A62AC"/>
    <w:rsid w:val="000A6BDB"/>
    <w:rsid w:val="000A6D0B"/>
    <w:rsid w:val="000B0AB9"/>
    <w:rsid w:val="000B0BF9"/>
    <w:rsid w:val="000B197A"/>
    <w:rsid w:val="000B22AA"/>
    <w:rsid w:val="000B24BD"/>
    <w:rsid w:val="000B3F9B"/>
    <w:rsid w:val="000B400B"/>
    <w:rsid w:val="000B4FC8"/>
    <w:rsid w:val="000B506C"/>
    <w:rsid w:val="000B5E73"/>
    <w:rsid w:val="000B6805"/>
    <w:rsid w:val="000B7E1F"/>
    <w:rsid w:val="000B7EF4"/>
    <w:rsid w:val="000C0CF7"/>
    <w:rsid w:val="000C124E"/>
    <w:rsid w:val="000C1835"/>
    <w:rsid w:val="000C2012"/>
    <w:rsid w:val="000C31DA"/>
    <w:rsid w:val="000C3460"/>
    <w:rsid w:val="000C396C"/>
    <w:rsid w:val="000C3AE9"/>
    <w:rsid w:val="000C4272"/>
    <w:rsid w:val="000C42B9"/>
    <w:rsid w:val="000C4523"/>
    <w:rsid w:val="000C46F7"/>
    <w:rsid w:val="000C4A36"/>
    <w:rsid w:val="000C4B5D"/>
    <w:rsid w:val="000C62DA"/>
    <w:rsid w:val="000C6471"/>
    <w:rsid w:val="000C69F4"/>
    <w:rsid w:val="000C72D9"/>
    <w:rsid w:val="000C7C2E"/>
    <w:rsid w:val="000D3CCC"/>
    <w:rsid w:val="000D3EF9"/>
    <w:rsid w:val="000D3F5E"/>
    <w:rsid w:val="000D3FA6"/>
    <w:rsid w:val="000D48B3"/>
    <w:rsid w:val="000D4F98"/>
    <w:rsid w:val="000D505E"/>
    <w:rsid w:val="000D547F"/>
    <w:rsid w:val="000D5998"/>
    <w:rsid w:val="000D5B39"/>
    <w:rsid w:val="000E00B2"/>
    <w:rsid w:val="000E0424"/>
    <w:rsid w:val="000E0A16"/>
    <w:rsid w:val="000E0C0A"/>
    <w:rsid w:val="000E113A"/>
    <w:rsid w:val="000E1560"/>
    <w:rsid w:val="000E1C52"/>
    <w:rsid w:val="000E1DD4"/>
    <w:rsid w:val="000E271E"/>
    <w:rsid w:val="000E3773"/>
    <w:rsid w:val="000E3C18"/>
    <w:rsid w:val="000E3DB7"/>
    <w:rsid w:val="000E516E"/>
    <w:rsid w:val="000E5A61"/>
    <w:rsid w:val="000E5A6A"/>
    <w:rsid w:val="000E5BE4"/>
    <w:rsid w:val="000E5E66"/>
    <w:rsid w:val="000E6048"/>
    <w:rsid w:val="000E61CD"/>
    <w:rsid w:val="000E639E"/>
    <w:rsid w:val="000E6558"/>
    <w:rsid w:val="000E6E10"/>
    <w:rsid w:val="000E7256"/>
    <w:rsid w:val="000E73A3"/>
    <w:rsid w:val="000E7749"/>
    <w:rsid w:val="000F008A"/>
    <w:rsid w:val="000F03C8"/>
    <w:rsid w:val="000F0E72"/>
    <w:rsid w:val="000F1065"/>
    <w:rsid w:val="000F12E7"/>
    <w:rsid w:val="000F152A"/>
    <w:rsid w:val="000F15F2"/>
    <w:rsid w:val="000F27AA"/>
    <w:rsid w:val="000F2A8E"/>
    <w:rsid w:val="000F2B70"/>
    <w:rsid w:val="000F38B9"/>
    <w:rsid w:val="000F4146"/>
    <w:rsid w:val="000F501F"/>
    <w:rsid w:val="000F502A"/>
    <w:rsid w:val="000F58FA"/>
    <w:rsid w:val="000F65CD"/>
    <w:rsid w:val="000F661B"/>
    <w:rsid w:val="000F6D61"/>
    <w:rsid w:val="000F72A3"/>
    <w:rsid w:val="000F7DF5"/>
    <w:rsid w:val="000F7FC7"/>
    <w:rsid w:val="00100294"/>
    <w:rsid w:val="00100755"/>
    <w:rsid w:val="00100A6B"/>
    <w:rsid w:val="00100B36"/>
    <w:rsid w:val="00101820"/>
    <w:rsid w:val="0010280D"/>
    <w:rsid w:val="00102E47"/>
    <w:rsid w:val="001030A2"/>
    <w:rsid w:val="0010330F"/>
    <w:rsid w:val="00103379"/>
    <w:rsid w:val="001039E0"/>
    <w:rsid w:val="0010429C"/>
    <w:rsid w:val="001046DC"/>
    <w:rsid w:val="0010559D"/>
    <w:rsid w:val="00105C16"/>
    <w:rsid w:val="00105E56"/>
    <w:rsid w:val="00105F32"/>
    <w:rsid w:val="0010601C"/>
    <w:rsid w:val="001065EA"/>
    <w:rsid w:val="00106D0F"/>
    <w:rsid w:val="00106F1B"/>
    <w:rsid w:val="00110147"/>
    <w:rsid w:val="001117B6"/>
    <w:rsid w:val="00112441"/>
    <w:rsid w:val="00112F39"/>
    <w:rsid w:val="0011302A"/>
    <w:rsid w:val="00115AAD"/>
    <w:rsid w:val="00116AAD"/>
    <w:rsid w:val="00117362"/>
    <w:rsid w:val="001177E0"/>
    <w:rsid w:val="00120F53"/>
    <w:rsid w:val="00121361"/>
    <w:rsid w:val="001225CE"/>
    <w:rsid w:val="001228BD"/>
    <w:rsid w:val="00123868"/>
    <w:rsid w:val="00123884"/>
    <w:rsid w:val="00123958"/>
    <w:rsid w:val="00124D63"/>
    <w:rsid w:val="001252DF"/>
    <w:rsid w:val="0012587F"/>
    <w:rsid w:val="00125C15"/>
    <w:rsid w:val="001263A9"/>
    <w:rsid w:val="0012669C"/>
    <w:rsid w:val="00126CCA"/>
    <w:rsid w:val="0012731D"/>
    <w:rsid w:val="00127420"/>
    <w:rsid w:val="00127D69"/>
    <w:rsid w:val="00130251"/>
    <w:rsid w:val="00130F26"/>
    <w:rsid w:val="00132E97"/>
    <w:rsid w:val="00133027"/>
    <w:rsid w:val="00133077"/>
    <w:rsid w:val="001343EA"/>
    <w:rsid w:val="00134C5C"/>
    <w:rsid w:val="0013561E"/>
    <w:rsid w:val="001356EF"/>
    <w:rsid w:val="00135757"/>
    <w:rsid w:val="00136348"/>
    <w:rsid w:val="00136CE1"/>
    <w:rsid w:val="0013701B"/>
    <w:rsid w:val="0013754A"/>
    <w:rsid w:val="00137714"/>
    <w:rsid w:val="00137717"/>
    <w:rsid w:val="00137D01"/>
    <w:rsid w:val="00137F76"/>
    <w:rsid w:val="001406CA"/>
    <w:rsid w:val="00140817"/>
    <w:rsid w:val="0014100B"/>
    <w:rsid w:val="0014157B"/>
    <w:rsid w:val="001428E2"/>
    <w:rsid w:val="00142C8E"/>
    <w:rsid w:val="00143FEA"/>
    <w:rsid w:val="00144542"/>
    <w:rsid w:val="0014612B"/>
    <w:rsid w:val="001465C2"/>
    <w:rsid w:val="00146FCA"/>
    <w:rsid w:val="0014762A"/>
    <w:rsid w:val="00147A2F"/>
    <w:rsid w:val="00147A75"/>
    <w:rsid w:val="00147ED7"/>
    <w:rsid w:val="00147EE8"/>
    <w:rsid w:val="00150011"/>
    <w:rsid w:val="00150660"/>
    <w:rsid w:val="001508CA"/>
    <w:rsid w:val="0015114E"/>
    <w:rsid w:val="001517E8"/>
    <w:rsid w:val="0015267F"/>
    <w:rsid w:val="0015268F"/>
    <w:rsid w:val="001528FA"/>
    <w:rsid w:val="001529BD"/>
    <w:rsid w:val="00152B5F"/>
    <w:rsid w:val="00153494"/>
    <w:rsid w:val="00153696"/>
    <w:rsid w:val="0015387C"/>
    <w:rsid w:val="00153B33"/>
    <w:rsid w:val="00154851"/>
    <w:rsid w:val="001550C9"/>
    <w:rsid w:val="0015536F"/>
    <w:rsid w:val="0015571D"/>
    <w:rsid w:val="00155832"/>
    <w:rsid w:val="001565D6"/>
    <w:rsid w:val="00156BDF"/>
    <w:rsid w:val="00157AA3"/>
    <w:rsid w:val="00157DA8"/>
    <w:rsid w:val="00160775"/>
    <w:rsid w:val="001613CC"/>
    <w:rsid w:val="001624A9"/>
    <w:rsid w:val="0016261E"/>
    <w:rsid w:val="00162788"/>
    <w:rsid w:val="00162A7A"/>
    <w:rsid w:val="00162FEE"/>
    <w:rsid w:val="00163CB2"/>
    <w:rsid w:val="0016417E"/>
    <w:rsid w:val="00164229"/>
    <w:rsid w:val="00165276"/>
    <w:rsid w:val="00165C42"/>
    <w:rsid w:val="00167AF7"/>
    <w:rsid w:val="00170439"/>
    <w:rsid w:val="00170A1A"/>
    <w:rsid w:val="001715B6"/>
    <w:rsid w:val="00171FE8"/>
    <w:rsid w:val="001726C9"/>
    <w:rsid w:val="00172EA0"/>
    <w:rsid w:val="00173300"/>
    <w:rsid w:val="001734D0"/>
    <w:rsid w:val="001746E0"/>
    <w:rsid w:val="00175103"/>
    <w:rsid w:val="001758BF"/>
    <w:rsid w:val="001759AB"/>
    <w:rsid w:val="0017786B"/>
    <w:rsid w:val="00177C7E"/>
    <w:rsid w:val="00177EA6"/>
    <w:rsid w:val="00180196"/>
    <w:rsid w:val="00180475"/>
    <w:rsid w:val="0018122C"/>
    <w:rsid w:val="001821D9"/>
    <w:rsid w:val="00182280"/>
    <w:rsid w:val="00182562"/>
    <w:rsid w:val="001830B0"/>
    <w:rsid w:val="0018329F"/>
    <w:rsid w:val="00183D5C"/>
    <w:rsid w:val="001842B9"/>
    <w:rsid w:val="001844B1"/>
    <w:rsid w:val="001858FF"/>
    <w:rsid w:val="00186D88"/>
    <w:rsid w:val="00186F1A"/>
    <w:rsid w:val="001870AB"/>
    <w:rsid w:val="0018742F"/>
    <w:rsid w:val="001874D1"/>
    <w:rsid w:val="00187B33"/>
    <w:rsid w:val="00187EA1"/>
    <w:rsid w:val="0019032F"/>
    <w:rsid w:val="001904CB"/>
    <w:rsid w:val="00190D6C"/>
    <w:rsid w:val="0019145E"/>
    <w:rsid w:val="00192234"/>
    <w:rsid w:val="00192694"/>
    <w:rsid w:val="00192D58"/>
    <w:rsid w:val="00195847"/>
    <w:rsid w:val="00195CCA"/>
    <w:rsid w:val="00195F54"/>
    <w:rsid w:val="00196A2F"/>
    <w:rsid w:val="0019711F"/>
    <w:rsid w:val="001A052F"/>
    <w:rsid w:val="001A09F5"/>
    <w:rsid w:val="001A0B78"/>
    <w:rsid w:val="001A1059"/>
    <w:rsid w:val="001A22FE"/>
    <w:rsid w:val="001A5158"/>
    <w:rsid w:val="001A568C"/>
    <w:rsid w:val="001A59DF"/>
    <w:rsid w:val="001A6571"/>
    <w:rsid w:val="001A6A91"/>
    <w:rsid w:val="001A6B81"/>
    <w:rsid w:val="001A77D7"/>
    <w:rsid w:val="001A789C"/>
    <w:rsid w:val="001B03F5"/>
    <w:rsid w:val="001B0C9C"/>
    <w:rsid w:val="001B0EA1"/>
    <w:rsid w:val="001B1BB0"/>
    <w:rsid w:val="001B23D9"/>
    <w:rsid w:val="001B2880"/>
    <w:rsid w:val="001B2995"/>
    <w:rsid w:val="001B324C"/>
    <w:rsid w:val="001B41EC"/>
    <w:rsid w:val="001B4B0F"/>
    <w:rsid w:val="001B5A1A"/>
    <w:rsid w:val="001B6441"/>
    <w:rsid w:val="001B6819"/>
    <w:rsid w:val="001B74D3"/>
    <w:rsid w:val="001B7E76"/>
    <w:rsid w:val="001C075F"/>
    <w:rsid w:val="001C0840"/>
    <w:rsid w:val="001C2492"/>
    <w:rsid w:val="001C2BD4"/>
    <w:rsid w:val="001C2C3B"/>
    <w:rsid w:val="001C2CB9"/>
    <w:rsid w:val="001C3119"/>
    <w:rsid w:val="001C337D"/>
    <w:rsid w:val="001C3BE6"/>
    <w:rsid w:val="001C3D7D"/>
    <w:rsid w:val="001C4004"/>
    <w:rsid w:val="001C4E97"/>
    <w:rsid w:val="001C56FE"/>
    <w:rsid w:val="001C777E"/>
    <w:rsid w:val="001C7C35"/>
    <w:rsid w:val="001D06C7"/>
    <w:rsid w:val="001D0BBF"/>
    <w:rsid w:val="001D14DB"/>
    <w:rsid w:val="001D1D07"/>
    <w:rsid w:val="001D2054"/>
    <w:rsid w:val="001D3371"/>
    <w:rsid w:val="001D34B4"/>
    <w:rsid w:val="001D4600"/>
    <w:rsid w:val="001D4696"/>
    <w:rsid w:val="001D5A9F"/>
    <w:rsid w:val="001D6143"/>
    <w:rsid w:val="001D6B24"/>
    <w:rsid w:val="001D6E7A"/>
    <w:rsid w:val="001D7463"/>
    <w:rsid w:val="001D7A9C"/>
    <w:rsid w:val="001E007A"/>
    <w:rsid w:val="001E008F"/>
    <w:rsid w:val="001E08B2"/>
    <w:rsid w:val="001E0A2A"/>
    <w:rsid w:val="001E0B69"/>
    <w:rsid w:val="001E2207"/>
    <w:rsid w:val="001E3F27"/>
    <w:rsid w:val="001E4244"/>
    <w:rsid w:val="001E4531"/>
    <w:rsid w:val="001E48C0"/>
    <w:rsid w:val="001E4C40"/>
    <w:rsid w:val="001E4E38"/>
    <w:rsid w:val="001E513B"/>
    <w:rsid w:val="001E523E"/>
    <w:rsid w:val="001E52ED"/>
    <w:rsid w:val="001E5685"/>
    <w:rsid w:val="001E591B"/>
    <w:rsid w:val="001E651B"/>
    <w:rsid w:val="001E68BA"/>
    <w:rsid w:val="001E77AE"/>
    <w:rsid w:val="001E7F66"/>
    <w:rsid w:val="001E7FE1"/>
    <w:rsid w:val="001F0F59"/>
    <w:rsid w:val="001F11B1"/>
    <w:rsid w:val="001F1E55"/>
    <w:rsid w:val="001F2A95"/>
    <w:rsid w:val="001F4147"/>
    <w:rsid w:val="001F4923"/>
    <w:rsid w:val="001F5B44"/>
    <w:rsid w:val="001F7681"/>
    <w:rsid w:val="001F7911"/>
    <w:rsid w:val="001F79BA"/>
    <w:rsid w:val="001F7B47"/>
    <w:rsid w:val="00200096"/>
    <w:rsid w:val="00200E3A"/>
    <w:rsid w:val="00201560"/>
    <w:rsid w:val="002019AA"/>
    <w:rsid w:val="00201CC9"/>
    <w:rsid w:val="00201DE1"/>
    <w:rsid w:val="00202197"/>
    <w:rsid w:val="00202317"/>
    <w:rsid w:val="00202C32"/>
    <w:rsid w:val="00202DDE"/>
    <w:rsid w:val="00202E7F"/>
    <w:rsid w:val="00202F1C"/>
    <w:rsid w:val="00203ACA"/>
    <w:rsid w:val="00203D3D"/>
    <w:rsid w:val="00204599"/>
    <w:rsid w:val="00204E3B"/>
    <w:rsid w:val="00205458"/>
    <w:rsid w:val="00205F1C"/>
    <w:rsid w:val="00205F20"/>
    <w:rsid w:val="0020606B"/>
    <w:rsid w:val="00206DE5"/>
    <w:rsid w:val="0021000C"/>
    <w:rsid w:val="0021036E"/>
    <w:rsid w:val="0021049E"/>
    <w:rsid w:val="00210966"/>
    <w:rsid w:val="002125DA"/>
    <w:rsid w:val="00212812"/>
    <w:rsid w:val="00214E67"/>
    <w:rsid w:val="00214ECE"/>
    <w:rsid w:val="0021524A"/>
    <w:rsid w:val="00215896"/>
    <w:rsid w:val="00215F3C"/>
    <w:rsid w:val="00215FEC"/>
    <w:rsid w:val="00216206"/>
    <w:rsid w:val="00217138"/>
    <w:rsid w:val="002209D2"/>
    <w:rsid w:val="002211C3"/>
    <w:rsid w:val="00221CA8"/>
    <w:rsid w:val="00221CEB"/>
    <w:rsid w:val="00221FBC"/>
    <w:rsid w:val="0022205C"/>
    <w:rsid w:val="002220E2"/>
    <w:rsid w:val="00223448"/>
    <w:rsid w:val="00223C87"/>
    <w:rsid w:val="00224506"/>
    <w:rsid w:val="0022481A"/>
    <w:rsid w:val="00224877"/>
    <w:rsid w:val="002262D2"/>
    <w:rsid w:val="00226592"/>
    <w:rsid w:val="00226663"/>
    <w:rsid w:val="0022684A"/>
    <w:rsid w:val="00226867"/>
    <w:rsid w:val="002272E6"/>
    <w:rsid w:val="0023070E"/>
    <w:rsid w:val="002312E9"/>
    <w:rsid w:val="00231739"/>
    <w:rsid w:val="00231A7A"/>
    <w:rsid w:val="00231B6A"/>
    <w:rsid w:val="00231BD9"/>
    <w:rsid w:val="00232417"/>
    <w:rsid w:val="00232706"/>
    <w:rsid w:val="0023410D"/>
    <w:rsid w:val="002342E3"/>
    <w:rsid w:val="002347FA"/>
    <w:rsid w:val="00234827"/>
    <w:rsid w:val="00234E27"/>
    <w:rsid w:val="00235989"/>
    <w:rsid w:val="0023620E"/>
    <w:rsid w:val="002368BD"/>
    <w:rsid w:val="00236FE3"/>
    <w:rsid w:val="00237998"/>
    <w:rsid w:val="00237F40"/>
    <w:rsid w:val="00240579"/>
    <w:rsid w:val="00240CF8"/>
    <w:rsid w:val="00240F03"/>
    <w:rsid w:val="002415D4"/>
    <w:rsid w:val="00241AB4"/>
    <w:rsid w:val="00243401"/>
    <w:rsid w:val="002434FB"/>
    <w:rsid w:val="0024351D"/>
    <w:rsid w:val="00243627"/>
    <w:rsid w:val="00244555"/>
    <w:rsid w:val="00245096"/>
    <w:rsid w:val="002461ED"/>
    <w:rsid w:val="0024651A"/>
    <w:rsid w:val="00246796"/>
    <w:rsid w:val="00246943"/>
    <w:rsid w:val="00247B4E"/>
    <w:rsid w:val="00250969"/>
    <w:rsid w:val="00251690"/>
    <w:rsid w:val="00251D87"/>
    <w:rsid w:val="002523CD"/>
    <w:rsid w:val="002523F2"/>
    <w:rsid w:val="00252F71"/>
    <w:rsid w:val="002530C8"/>
    <w:rsid w:val="002536FD"/>
    <w:rsid w:val="00253C9E"/>
    <w:rsid w:val="002544E7"/>
    <w:rsid w:val="002544F2"/>
    <w:rsid w:val="00254A55"/>
    <w:rsid w:val="00254C77"/>
    <w:rsid w:val="00254CBF"/>
    <w:rsid w:val="002551D5"/>
    <w:rsid w:val="00255E73"/>
    <w:rsid w:val="00256853"/>
    <w:rsid w:val="00257407"/>
    <w:rsid w:val="0025764C"/>
    <w:rsid w:val="00257FD9"/>
    <w:rsid w:val="002600AB"/>
    <w:rsid w:val="00260258"/>
    <w:rsid w:val="0026209A"/>
    <w:rsid w:val="00262521"/>
    <w:rsid w:val="00262808"/>
    <w:rsid w:val="0026290B"/>
    <w:rsid w:val="00262F20"/>
    <w:rsid w:val="002630CD"/>
    <w:rsid w:val="002632F7"/>
    <w:rsid w:val="00263794"/>
    <w:rsid w:val="002637C8"/>
    <w:rsid w:val="002644CB"/>
    <w:rsid w:val="00264835"/>
    <w:rsid w:val="002650C2"/>
    <w:rsid w:val="00265A9E"/>
    <w:rsid w:val="00267283"/>
    <w:rsid w:val="0027011A"/>
    <w:rsid w:val="002701D3"/>
    <w:rsid w:val="002708CB"/>
    <w:rsid w:val="00270F78"/>
    <w:rsid w:val="0027121B"/>
    <w:rsid w:val="002727A2"/>
    <w:rsid w:val="00272F1A"/>
    <w:rsid w:val="00272F80"/>
    <w:rsid w:val="00272FA6"/>
    <w:rsid w:val="00273870"/>
    <w:rsid w:val="00273C53"/>
    <w:rsid w:val="00273EF3"/>
    <w:rsid w:val="00275764"/>
    <w:rsid w:val="00275FDC"/>
    <w:rsid w:val="0027676A"/>
    <w:rsid w:val="00276921"/>
    <w:rsid w:val="00277018"/>
    <w:rsid w:val="00277C2B"/>
    <w:rsid w:val="00277FE5"/>
    <w:rsid w:val="00280DFE"/>
    <w:rsid w:val="00280EE2"/>
    <w:rsid w:val="00281811"/>
    <w:rsid w:val="00282556"/>
    <w:rsid w:val="00282960"/>
    <w:rsid w:val="0028358C"/>
    <w:rsid w:val="00283A3D"/>
    <w:rsid w:val="002847DC"/>
    <w:rsid w:val="00285075"/>
    <w:rsid w:val="00285B59"/>
    <w:rsid w:val="00285C36"/>
    <w:rsid w:val="00285E8D"/>
    <w:rsid w:val="0028603A"/>
    <w:rsid w:val="00286044"/>
    <w:rsid w:val="00286E28"/>
    <w:rsid w:val="00286F45"/>
    <w:rsid w:val="002870AA"/>
    <w:rsid w:val="0028752A"/>
    <w:rsid w:val="00287CB1"/>
    <w:rsid w:val="00287ED4"/>
    <w:rsid w:val="002902EE"/>
    <w:rsid w:val="0029054A"/>
    <w:rsid w:val="002908F5"/>
    <w:rsid w:val="00290B48"/>
    <w:rsid w:val="0029199C"/>
    <w:rsid w:val="002924D4"/>
    <w:rsid w:val="00292665"/>
    <w:rsid w:val="00292D09"/>
    <w:rsid w:val="002955FD"/>
    <w:rsid w:val="00296735"/>
    <w:rsid w:val="00296BB9"/>
    <w:rsid w:val="00296E38"/>
    <w:rsid w:val="002A13A2"/>
    <w:rsid w:val="002A1732"/>
    <w:rsid w:val="002A20EA"/>
    <w:rsid w:val="002A2269"/>
    <w:rsid w:val="002A2B55"/>
    <w:rsid w:val="002A2D15"/>
    <w:rsid w:val="002A37D0"/>
    <w:rsid w:val="002A3B47"/>
    <w:rsid w:val="002A3DBE"/>
    <w:rsid w:val="002A3E99"/>
    <w:rsid w:val="002A4681"/>
    <w:rsid w:val="002A4C45"/>
    <w:rsid w:val="002A4C8E"/>
    <w:rsid w:val="002A4E1D"/>
    <w:rsid w:val="002A55EF"/>
    <w:rsid w:val="002A57EF"/>
    <w:rsid w:val="002A6104"/>
    <w:rsid w:val="002A6B00"/>
    <w:rsid w:val="002B0E21"/>
    <w:rsid w:val="002B164C"/>
    <w:rsid w:val="002B1EF7"/>
    <w:rsid w:val="002B2F46"/>
    <w:rsid w:val="002B3958"/>
    <w:rsid w:val="002B3E36"/>
    <w:rsid w:val="002B4C57"/>
    <w:rsid w:val="002B573D"/>
    <w:rsid w:val="002B5BF1"/>
    <w:rsid w:val="002B5F70"/>
    <w:rsid w:val="002B66A3"/>
    <w:rsid w:val="002B75DF"/>
    <w:rsid w:val="002B7B0A"/>
    <w:rsid w:val="002B7DE4"/>
    <w:rsid w:val="002C029E"/>
    <w:rsid w:val="002C0469"/>
    <w:rsid w:val="002C1C06"/>
    <w:rsid w:val="002C23F1"/>
    <w:rsid w:val="002C3745"/>
    <w:rsid w:val="002C3AFE"/>
    <w:rsid w:val="002C3BBB"/>
    <w:rsid w:val="002C3C20"/>
    <w:rsid w:val="002C46CE"/>
    <w:rsid w:val="002C537B"/>
    <w:rsid w:val="002C74C2"/>
    <w:rsid w:val="002C7A18"/>
    <w:rsid w:val="002C7DA6"/>
    <w:rsid w:val="002D0E5F"/>
    <w:rsid w:val="002D2B9E"/>
    <w:rsid w:val="002D3342"/>
    <w:rsid w:val="002D3CEC"/>
    <w:rsid w:val="002D3FB3"/>
    <w:rsid w:val="002D416E"/>
    <w:rsid w:val="002D53D6"/>
    <w:rsid w:val="002D5560"/>
    <w:rsid w:val="002D5C14"/>
    <w:rsid w:val="002D5D53"/>
    <w:rsid w:val="002D5F8B"/>
    <w:rsid w:val="002D6379"/>
    <w:rsid w:val="002D65A9"/>
    <w:rsid w:val="002D7084"/>
    <w:rsid w:val="002D7CB0"/>
    <w:rsid w:val="002E115F"/>
    <w:rsid w:val="002E153D"/>
    <w:rsid w:val="002E19D1"/>
    <w:rsid w:val="002E2630"/>
    <w:rsid w:val="002E3356"/>
    <w:rsid w:val="002E3EB0"/>
    <w:rsid w:val="002E4450"/>
    <w:rsid w:val="002E4FB0"/>
    <w:rsid w:val="002E5434"/>
    <w:rsid w:val="002E64E6"/>
    <w:rsid w:val="002E671A"/>
    <w:rsid w:val="002F02D0"/>
    <w:rsid w:val="002F0400"/>
    <w:rsid w:val="002F15E8"/>
    <w:rsid w:val="002F2D44"/>
    <w:rsid w:val="002F2D8F"/>
    <w:rsid w:val="002F408B"/>
    <w:rsid w:val="002F4BC0"/>
    <w:rsid w:val="002F53BE"/>
    <w:rsid w:val="002F57E7"/>
    <w:rsid w:val="002F62C4"/>
    <w:rsid w:val="002F6981"/>
    <w:rsid w:val="002F6A05"/>
    <w:rsid w:val="002F7B8E"/>
    <w:rsid w:val="00300089"/>
    <w:rsid w:val="003002FD"/>
    <w:rsid w:val="00300A48"/>
    <w:rsid w:val="00300DFB"/>
    <w:rsid w:val="003010D3"/>
    <w:rsid w:val="0030132D"/>
    <w:rsid w:val="003015BC"/>
    <w:rsid w:val="00301604"/>
    <w:rsid w:val="00301AC9"/>
    <w:rsid w:val="00301CC9"/>
    <w:rsid w:val="00301CCC"/>
    <w:rsid w:val="00301CF1"/>
    <w:rsid w:val="00302855"/>
    <w:rsid w:val="00303609"/>
    <w:rsid w:val="00303D5E"/>
    <w:rsid w:val="003043AD"/>
    <w:rsid w:val="00304BBF"/>
    <w:rsid w:val="00304FC9"/>
    <w:rsid w:val="0030500A"/>
    <w:rsid w:val="00305907"/>
    <w:rsid w:val="0030698A"/>
    <w:rsid w:val="003073DB"/>
    <w:rsid w:val="003077ED"/>
    <w:rsid w:val="00307C1E"/>
    <w:rsid w:val="00310223"/>
    <w:rsid w:val="0031049B"/>
    <w:rsid w:val="00310682"/>
    <w:rsid w:val="00311AEF"/>
    <w:rsid w:val="00312422"/>
    <w:rsid w:val="0031289C"/>
    <w:rsid w:val="00312F56"/>
    <w:rsid w:val="0031300A"/>
    <w:rsid w:val="003130CF"/>
    <w:rsid w:val="00314573"/>
    <w:rsid w:val="00314733"/>
    <w:rsid w:val="00314D5C"/>
    <w:rsid w:val="00314DA9"/>
    <w:rsid w:val="00315C3A"/>
    <w:rsid w:val="0031733F"/>
    <w:rsid w:val="003178DA"/>
    <w:rsid w:val="00320439"/>
    <w:rsid w:val="003210BD"/>
    <w:rsid w:val="003217DC"/>
    <w:rsid w:val="00321821"/>
    <w:rsid w:val="00321A85"/>
    <w:rsid w:val="00323BE4"/>
    <w:rsid w:val="003246EE"/>
    <w:rsid w:val="00325935"/>
    <w:rsid w:val="00325A3A"/>
    <w:rsid w:val="0032605C"/>
    <w:rsid w:val="00326C85"/>
    <w:rsid w:val="0032797B"/>
    <w:rsid w:val="00327C53"/>
    <w:rsid w:val="0033050B"/>
    <w:rsid w:val="003308C8"/>
    <w:rsid w:val="0033097C"/>
    <w:rsid w:val="00331CB5"/>
    <w:rsid w:val="00331DEE"/>
    <w:rsid w:val="00332335"/>
    <w:rsid w:val="003330E2"/>
    <w:rsid w:val="00333988"/>
    <w:rsid w:val="00334D2E"/>
    <w:rsid w:val="00335D95"/>
    <w:rsid w:val="00335F5E"/>
    <w:rsid w:val="00336FCA"/>
    <w:rsid w:val="003372E9"/>
    <w:rsid w:val="00337495"/>
    <w:rsid w:val="003406B1"/>
    <w:rsid w:val="00340877"/>
    <w:rsid w:val="00340F34"/>
    <w:rsid w:val="00340FD3"/>
    <w:rsid w:val="003428D1"/>
    <w:rsid w:val="00342C62"/>
    <w:rsid w:val="003434A0"/>
    <w:rsid w:val="003435AD"/>
    <w:rsid w:val="003439A1"/>
    <w:rsid w:val="0034486F"/>
    <w:rsid w:val="00344929"/>
    <w:rsid w:val="00344B65"/>
    <w:rsid w:val="00344E2B"/>
    <w:rsid w:val="00345743"/>
    <w:rsid w:val="00345A6B"/>
    <w:rsid w:val="00346463"/>
    <w:rsid w:val="00346470"/>
    <w:rsid w:val="00346A66"/>
    <w:rsid w:val="00347415"/>
    <w:rsid w:val="00347EDC"/>
    <w:rsid w:val="00350164"/>
    <w:rsid w:val="00351CFC"/>
    <w:rsid w:val="00352B6C"/>
    <w:rsid w:val="0035311D"/>
    <w:rsid w:val="0035340A"/>
    <w:rsid w:val="00353994"/>
    <w:rsid w:val="00353A0B"/>
    <w:rsid w:val="00353C90"/>
    <w:rsid w:val="00354E78"/>
    <w:rsid w:val="003551E6"/>
    <w:rsid w:val="0035559C"/>
    <w:rsid w:val="003572A5"/>
    <w:rsid w:val="003604A3"/>
    <w:rsid w:val="003608C6"/>
    <w:rsid w:val="00360B91"/>
    <w:rsid w:val="00360F93"/>
    <w:rsid w:val="00361B82"/>
    <w:rsid w:val="00362126"/>
    <w:rsid w:val="00362DAA"/>
    <w:rsid w:val="00363344"/>
    <w:rsid w:val="00363CCB"/>
    <w:rsid w:val="00363F0E"/>
    <w:rsid w:val="00364011"/>
    <w:rsid w:val="003643F7"/>
    <w:rsid w:val="00364459"/>
    <w:rsid w:val="003652F4"/>
    <w:rsid w:val="00365550"/>
    <w:rsid w:val="00365C75"/>
    <w:rsid w:val="00365F22"/>
    <w:rsid w:val="00366B5E"/>
    <w:rsid w:val="003675BE"/>
    <w:rsid w:val="003678EE"/>
    <w:rsid w:val="00367CEC"/>
    <w:rsid w:val="0037003E"/>
    <w:rsid w:val="00370387"/>
    <w:rsid w:val="003708A4"/>
    <w:rsid w:val="00371C85"/>
    <w:rsid w:val="003723B4"/>
    <w:rsid w:val="0037264A"/>
    <w:rsid w:val="00373008"/>
    <w:rsid w:val="00373698"/>
    <w:rsid w:val="00375283"/>
    <w:rsid w:val="00375291"/>
    <w:rsid w:val="0037535E"/>
    <w:rsid w:val="00375A65"/>
    <w:rsid w:val="00375F40"/>
    <w:rsid w:val="00376091"/>
    <w:rsid w:val="00376540"/>
    <w:rsid w:val="0037676D"/>
    <w:rsid w:val="0037679C"/>
    <w:rsid w:val="0037734D"/>
    <w:rsid w:val="00377567"/>
    <w:rsid w:val="00377AB6"/>
    <w:rsid w:val="00380DE9"/>
    <w:rsid w:val="00381375"/>
    <w:rsid w:val="003814DD"/>
    <w:rsid w:val="00381832"/>
    <w:rsid w:val="003820C6"/>
    <w:rsid w:val="00382429"/>
    <w:rsid w:val="00382AE4"/>
    <w:rsid w:val="003831EE"/>
    <w:rsid w:val="003835C1"/>
    <w:rsid w:val="00385BB4"/>
    <w:rsid w:val="003863F8"/>
    <w:rsid w:val="00390B3E"/>
    <w:rsid w:val="00390D91"/>
    <w:rsid w:val="00391C1E"/>
    <w:rsid w:val="00391DEA"/>
    <w:rsid w:val="00391EC6"/>
    <w:rsid w:val="0039272C"/>
    <w:rsid w:val="00392E76"/>
    <w:rsid w:val="00392F13"/>
    <w:rsid w:val="00393B4B"/>
    <w:rsid w:val="00393F10"/>
    <w:rsid w:val="00394092"/>
    <w:rsid w:val="0039428E"/>
    <w:rsid w:val="003943AF"/>
    <w:rsid w:val="00394B66"/>
    <w:rsid w:val="003962AA"/>
    <w:rsid w:val="00397837"/>
    <w:rsid w:val="00397D5E"/>
    <w:rsid w:val="00397DDD"/>
    <w:rsid w:val="003A0131"/>
    <w:rsid w:val="003A0FC3"/>
    <w:rsid w:val="003A367A"/>
    <w:rsid w:val="003A3B1D"/>
    <w:rsid w:val="003A440F"/>
    <w:rsid w:val="003A44D5"/>
    <w:rsid w:val="003A4578"/>
    <w:rsid w:val="003A4882"/>
    <w:rsid w:val="003A4C2E"/>
    <w:rsid w:val="003A4F35"/>
    <w:rsid w:val="003A4F9C"/>
    <w:rsid w:val="003A5306"/>
    <w:rsid w:val="003A5353"/>
    <w:rsid w:val="003A5A28"/>
    <w:rsid w:val="003A5C77"/>
    <w:rsid w:val="003A5CF5"/>
    <w:rsid w:val="003A7E92"/>
    <w:rsid w:val="003B01E5"/>
    <w:rsid w:val="003B167F"/>
    <w:rsid w:val="003B1759"/>
    <w:rsid w:val="003B1B09"/>
    <w:rsid w:val="003B1E2B"/>
    <w:rsid w:val="003B27E2"/>
    <w:rsid w:val="003B377C"/>
    <w:rsid w:val="003B3B2B"/>
    <w:rsid w:val="003B4001"/>
    <w:rsid w:val="003B49F0"/>
    <w:rsid w:val="003B4B42"/>
    <w:rsid w:val="003B5653"/>
    <w:rsid w:val="003B59FA"/>
    <w:rsid w:val="003B6587"/>
    <w:rsid w:val="003B68DD"/>
    <w:rsid w:val="003B6B70"/>
    <w:rsid w:val="003B7889"/>
    <w:rsid w:val="003C059E"/>
    <w:rsid w:val="003C2133"/>
    <w:rsid w:val="003C2C8C"/>
    <w:rsid w:val="003C3039"/>
    <w:rsid w:val="003C369E"/>
    <w:rsid w:val="003C3865"/>
    <w:rsid w:val="003C3970"/>
    <w:rsid w:val="003C3BC3"/>
    <w:rsid w:val="003C3F7E"/>
    <w:rsid w:val="003C408D"/>
    <w:rsid w:val="003C44E0"/>
    <w:rsid w:val="003C49F5"/>
    <w:rsid w:val="003C55A9"/>
    <w:rsid w:val="003C73B2"/>
    <w:rsid w:val="003C76F2"/>
    <w:rsid w:val="003C7730"/>
    <w:rsid w:val="003D01CD"/>
    <w:rsid w:val="003D26E9"/>
    <w:rsid w:val="003D33EB"/>
    <w:rsid w:val="003D3BD1"/>
    <w:rsid w:val="003D40EB"/>
    <w:rsid w:val="003D43E0"/>
    <w:rsid w:val="003D463F"/>
    <w:rsid w:val="003D4A16"/>
    <w:rsid w:val="003D598D"/>
    <w:rsid w:val="003D603C"/>
    <w:rsid w:val="003D71B4"/>
    <w:rsid w:val="003D791D"/>
    <w:rsid w:val="003D79E0"/>
    <w:rsid w:val="003D7EE6"/>
    <w:rsid w:val="003E16BE"/>
    <w:rsid w:val="003E1ABF"/>
    <w:rsid w:val="003E1C2A"/>
    <w:rsid w:val="003E2EC6"/>
    <w:rsid w:val="003E303F"/>
    <w:rsid w:val="003E366A"/>
    <w:rsid w:val="003E3BE2"/>
    <w:rsid w:val="003E412E"/>
    <w:rsid w:val="003E42A7"/>
    <w:rsid w:val="003E47EB"/>
    <w:rsid w:val="003E4C35"/>
    <w:rsid w:val="003E5D53"/>
    <w:rsid w:val="003E61ED"/>
    <w:rsid w:val="003E6276"/>
    <w:rsid w:val="003E6BF2"/>
    <w:rsid w:val="003E6D45"/>
    <w:rsid w:val="003E769A"/>
    <w:rsid w:val="003E7B77"/>
    <w:rsid w:val="003F05B5"/>
    <w:rsid w:val="003F0C05"/>
    <w:rsid w:val="003F0F74"/>
    <w:rsid w:val="003F1F97"/>
    <w:rsid w:val="003F20DA"/>
    <w:rsid w:val="003F2BA7"/>
    <w:rsid w:val="003F337F"/>
    <w:rsid w:val="003F35A4"/>
    <w:rsid w:val="003F4E17"/>
    <w:rsid w:val="003F4E94"/>
    <w:rsid w:val="003F56D2"/>
    <w:rsid w:val="003F62DD"/>
    <w:rsid w:val="003F6622"/>
    <w:rsid w:val="003F6F11"/>
    <w:rsid w:val="003F73B1"/>
    <w:rsid w:val="003F7746"/>
    <w:rsid w:val="00401267"/>
    <w:rsid w:val="0040276D"/>
    <w:rsid w:val="00404810"/>
    <w:rsid w:val="004048C8"/>
    <w:rsid w:val="004049E2"/>
    <w:rsid w:val="00404E8B"/>
    <w:rsid w:val="004054C0"/>
    <w:rsid w:val="00405FE8"/>
    <w:rsid w:val="0040791F"/>
    <w:rsid w:val="0041037B"/>
    <w:rsid w:val="00410E82"/>
    <w:rsid w:val="0041164A"/>
    <w:rsid w:val="004119A9"/>
    <w:rsid w:val="00411A62"/>
    <w:rsid w:val="00412404"/>
    <w:rsid w:val="00412564"/>
    <w:rsid w:val="004125D0"/>
    <w:rsid w:val="00412B82"/>
    <w:rsid w:val="00412D5D"/>
    <w:rsid w:val="00412E11"/>
    <w:rsid w:val="00414910"/>
    <w:rsid w:val="00415520"/>
    <w:rsid w:val="004158AF"/>
    <w:rsid w:val="00415977"/>
    <w:rsid w:val="00415D1F"/>
    <w:rsid w:val="004161EE"/>
    <w:rsid w:val="0041726F"/>
    <w:rsid w:val="00417751"/>
    <w:rsid w:val="0041792E"/>
    <w:rsid w:val="00417C89"/>
    <w:rsid w:val="00417FD4"/>
    <w:rsid w:val="00420346"/>
    <w:rsid w:val="00421098"/>
    <w:rsid w:val="00421B5A"/>
    <w:rsid w:val="004225CC"/>
    <w:rsid w:val="00422812"/>
    <w:rsid w:val="004236F5"/>
    <w:rsid w:val="00423705"/>
    <w:rsid w:val="00423D72"/>
    <w:rsid w:val="004243DF"/>
    <w:rsid w:val="00424BDD"/>
    <w:rsid w:val="00424D4F"/>
    <w:rsid w:val="0042591B"/>
    <w:rsid w:val="00425EEB"/>
    <w:rsid w:val="0042655B"/>
    <w:rsid w:val="00426DEE"/>
    <w:rsid w:val="0042737D"/>
    <w:rsid w:val="00427B30"/>
    <w:rsid w:val="00427F0D"/>
    <w:rsid w:val="004306F2"/>
    <w:rsid w:val="00430769"/>
    <w:rsid w:val="00430D29"/>
    <w:rsid w:val="00431F5B"/>
    <w:rsid w:val="004320E1"/>
    <w:rsid w:val="00433501"/>
    <w:rsid w:val="00434C84"/>
    <w:rsid w:val="00435C8E"/>
    <w:rsid w:val="00436727"/>
    <w:rsid w:val="004367F9"/>
    <w:rsid w:val="00436927"/>
    <w:rsid w:val="00436A43"/>
    <w:rsid w:val="004413C8"/>
    <w:rsid w:val="0044160C"/>
    <w:rsid w:val="00441681"/>
    <w:rsid w:val="00444B20"/>
    <w:rsid w:val="00444D06"/>
    <w:rsid w:val="004455A4"/>
    <w:rsid w:val="004462C7"/>
    <w:rsid w:val="00446C80"/>
    <w:rsid w:val="00446EA4"/>
    <w:rsid w:val="004470AF"/>
    <w:rsid w:val="00447655"/>
    <w:rsid w:val="00447744"/>
    <w:rsid w:val="00447EB3"/>
    <w:rsid w:val="004527C9"/>
    <w:rsid w:val="00452CAE"/>
    <w:rsid w:val="00453743"/>
    <w:rsid w:val="00455329"/>
    <w:rsid w:val="004567A8"/>
    <w:rsid w:val="00456F50"/>
    <w:rsid w:val="00457396"/>
    <w:rsid w:val="00460835"/>
    <w:rsid w:val="00460866"/>
    <w:rsid w:val="00460DC7"/>
    <w:rsid w:val="00460EF2"/>
    <w:rsid w:val="00461029"/>
    <w:rsid w:val="0046144D"/>
    <w:rsid w:val="00461769"/>
    <w:rsid w:val="00461DBF"/>
    <w:rsid w:val="00462EEE"/>
    <w:rsid w:val="004638E3"/>
    <w:rsid w:val="00464433"/>
    <w:rsid w:val="0046672B"/>
    <w:rsid w:val="004672C3"/>
    <w:rsid w:val="004672D6"/>
    <w:rsid w:val="00467642"/>
    <w:rsid w:val="0046779E"/>
    <w:rsid w:val="00467C27"/>
    <w:rsid w:val="004707D5"/>
    <w:rsid w:val="00470D16"/>
    <w:rsid w:val="00470EA0"/>
    <w:rsid w:val="004714BB"/>
    <w:rsid w:val="00471565"/>
    <w:rsid w:val="00471981"/>
    <w:rsid w:val="00471C78"/>
    <w:rsid w:val="0047200A"/>
    <w:rsid w:val="004726E4"/>
    <w:rsid w:val="00472E4A"/>
    <w:rsid w:val="004731AE"/>
    <w:rsid w:val="004732D9"/>
    <w:rsid w:val="00473E62"/>
    <w:rsid w:val="00473FA5"/>
    <w:rsid w:val="004740A0"/>
    <w:rsid w:val="0047421D"/>
    <w:rsid w:val="0047433D"/>
    <w:rsid w:val="00474AF1"/>
    <w:rsid w:val="00474D63"/>
    <w:rsid w:val="00475E89"/>
    <w:rsid w:val="0047617D"/>
    <w:rsid w:val="004764BC"/>
    <w:rsid w:val="004801E7"/>
    <w:rsid w:val="004802AB"/>
    <w:rsid w:val="004803A8"/>
    <w:rsid w:val="00480870"/>
    <w:rsid w:val="00480A7A"/>
    <w:rsid w:val="00481E09"/>
    <w:rsid w:val="004825DC"/>
    <w:rsid w:val="004827E7"/>
    <w:rsid w:val="004830EF"/>
    <w:rsid w:val="00483392"/>
    <w:rsid w:val="00483834"/>
    <w:rsid w:val="004844B7"/>
    <w:rsid w:val="0048486E"/>
    <w:rsid w:val="004855D9"/>
    <w:rsid w:val="004863C2"/>
    <w:rsid w:val="00487322"/>
    <w:rsid w:val="00487AA5"/>
    <w:rsid w:val="00487E1C"/>
    <w:rsid w:val="004902A4"/>
    <w:rsid w:val="004905EB"/>
    <w:rsid w:val="004909A9"/>
    <w:rsid w:val="00491590"/>
    <w:rsid w:val="004919DD"/>
    <w:rsid w:val="00491E11"/>
    <w:rsid w:val="0049295C"/>
    <w:rsid w:val="004936F7"/>
    <w:rsid w:val="00493EA7"/>
    <w:rsid w:val="00493FBB"/>
    <w:rsid w:val="00494490"/>
    <w:rsid w:val="0049457C"/>
    <w:rsid w:val="00495982"/>
    <w:rsid w:val="00495E54"/>
    <w:rsid w:val="004A03B1"/>
    <w:rsid w:val="004A0F06"/>
    <w:rsid w:val="004A1177"/>
    <w:rsid w:val="004A185D"/>
    <w:rsid w:val="004A290E"/>
    <w:rsid w:val="004A2B5E"/>
    <w:rsid w:val="004A3C01"/>
    <w:rsid w:val="004A3C8B"/>
    <w:rsid w:val="004A43A1"/>
    <w:rsid w:val="004A4DA6"/>
    <w:rsid w:val="004A52A7"/>
    <w:rsid w:val="004A53A2"/>
    <w:rsid w:val="004A5AFF"/>
    <w:rsid w:val="004A5EE1"/>
    <w:rsid w:val="004A63D5"/>
    <w:rsid w:val="004A6557"/>
    <w:rsid w:val="004A6708"/>
    <w:rsid w:val="004A6D61"/>
    <w:rsid w:val="004B015D"/>
    <w:rsid w:val="004B02C5"/>
    <w:rsid w:val="004B1E8E"/>
    <w:rsid w:val="004B1FD6"/>
    <w:rsid w:val="004B1FED"/>
    <w:rsid w:val="004B2F59"/>
    <w:rsid w:val="004B3115"/>
    <w:rsid w:val="004B3984"/>
    <w:rsid w:val="004B3C0B"/>
    <w:rsid w:val="004B5183"/>
    <w:rsid w:val="004B51AB"/>
    <w:rsid w:val="004B5D24"/>
    <w:rsid w:val="004B5DF9"/>
    <w:rsid w:val="004B6C43"/>
    <w:rsid w:val="004B7B77"/>
    <w:rsid w:val="004B7E8E"/>
    <w:rsid w:val="004C0B05"/>
    <w:rsid w:val="004C0F38"/>
    <w:rsid w:val="004C148B"/>
    <w:rsid w:val="004C342E"/>
    <w:rsid w:val="004C4A14"/>
    <w:rsid w:val="004C4E15"/>
    <w:rsid w:val="004C4FE7"/>
    <w:rsid w:val="004C5A47"/>
    <w:rsid w:val="004C6752"/>
    <w:rsid w:val="004C6D61"/>
    <w:rsid w:val="004C6E7D"/>
    <w:rsid w:val="004C73A2"/>
    <w:rsid w:val="004C7710"/>
    <w:rsid w:val="004C7BEF"/>
    <w:rsid w:val="004D0117"/>
    <w:rsid w:val="004D030A"/>
    <w:rsid w:val="004D07B9"/>
    <w:rsid w:val="004D07FF"/>
    <w:rsid w:val="004D0D21"/>
    <w:rsid w:val="004D123D"/>
    <w:rsid w:val="004D1287"/>
    <w:rsid w:val="004D263C"/>
    <w:rsid w:val="004D276E"/>
    <w:rsid w:val="004D27BC"/>
    <w:rsid w:val="004D289B"/>
    <w:rsid w:val="004D2EBB"/>
    <w:rsid w:val="004D413D"/>
    <w:rsid w:val="004D4179"/>
    <w:rsid w:val="004D484A"/>
    <w:rsid w:val="004D4FDA"/>
    <w:rsid w:val="004D5ED9"/>
    <w:rsid w:val="004D76A6"/>
    <w:rsid w:val="004E0EAB"/>
    <w:rsid w:val="004E164F"/>
    <w:rsid w:val="004E1B48"/>
    <w:rsid w:val="004E268F"/>
    <w:rsid w:val="004E26EA"/>
    <w:rsid w:val="004E2D0B"/>
    <w:rsid w:val="004E34FA"/>
    <w:rsid w:val="004E47CA"/>
    <w:rsid w:val="004E4EF0"/>
    <w:rsid w:val="004E5BD1"/>
    <w:rsid w:val="004E5E2E"/>
    <w:rsid w:val="004E6366"/>
    <w:rsid w:val="004F1A04"/>
    <w:rsid w:val="004F20FE"/>
    <w:rsid w:val="004F2C56"/>
    <w:rsid w:val="004F2C9A"/>
    <w:rsid w:val="004F3282"/>
    <w:rsid w:val="004F33C1"/>
    <w:rsid w:val="004F3827"/>
    <w:rsid w:val="004F4734"/>
    <w:rsid w:val="004F4931"/>
    <w:rsid w:val="004F5269"/>
    <w:rsid w:val="004F656F"/>
    <w:rsid w:val="004F6898"/>
    <w:rsid w:val="00500582"/>
    <w:rsid w:val="00500FC4"/>
    <w:rsid w:val="00501386"/>
    <w:rsid w:val="005017EE"/>
    <w:rsid w:val="00501901"/>
    <w:rsid w:val="005025EB"/>
    <w:rsid w:val="005027A6"/>
    <w:rsid w:val="005034B4"/>
    <w:rsid w:val="00503720"/>
    <w:rsid w:val="00503807"/>
    <w:rsid w:val="00503FB2"/>
    <w:rsid w:val="0050574D"/>
    <w:rsid w:val="00505BDF"/>
    <w:rsid w:val="00506C0A"/>
    <w:rsid w:val="005071E2"/>
    <w:rsid w:val="005072A9"/>
    <w:rsid w:val="005075C9"/>
    <w:rsid w:val="00510090"/>
    <w:rsid w:val="0051061D"/>
    <w:rsid w:val="005112AF"/>
    <w:rsid w:val="00511395"/>
    <w:rsid w:val="00511B08"/>
    <w:rsid w:val="00511B8B"/>
    <w:rsid w:val="00511FAC"/>
    <w:rsid w:val="0051269B"/>
    <w:rsid w:val="00512814"/>
    <w:rsid w:val="00512CDE"/>
    <w:rsid w:val="00513424"/>
    <w:rsid w:val="0051480D"/>
    <w:rsid w:val="00514E1B"/>
    <w:rsid w:val="00514F1C"/>
    <w:rsid w:val="005158C9"/>
    <w:rsid w:val="005159FB"/>
    <w:rsid w:val="00516B0A"/>
    <w:rsid w:val="00517CFD"/>
    <w:rsid w:val="00520010"/>
    <w:rsid w:val="00520A01"/>
    <w:rsid w:val="00520A74"/>
    <w:rsid w:val="00520BDB"/>
    <w:rsid w:val="005215A6"/>
    <w:rsid w:val="00521A4C"/>
    <w:rsid w:val="00521ADA"/>
    <w:rsid w:val="005220CB"/>
    <w:rsid w:val="0052223B"/>
    <w:rsid w:val="00523D0D"/>
    <w:rsid w:val="00524442"/>
    <w:rsid w:val="00524459"/>
    <w:rsid w:val="005249D7"/>
    <w:rsid w:val="00524E56"/>
    <w:rsid w:val="00525BA3"/>
    <w:rsid w:val="005260F4"/>
    <w:rsid w:val="005263C8"/>
    <w:rsid w:val="0052650D"/>
    <w:rsid w:val="00526670"/>
    <w:rsid w:val="00526A55"/>
    <w:rsid w:val="00526F8F"/>
    <w:rsid w:val="0052708B"/>
    <w:rsid w:val="00527FD9"/>
    <w:rsid w:val="00527FDA"/>
    <w:rsid w:val="00530573"/>
    <w:rsid w:val="005307F9"/>
    <w:rsid w:val="00531BBA"/>
    <w:rsid w:val="00531C20"/>
    <w:rsid w:val="00532984"/>
    <w:rsid w:val="005329F6"/>
    <w:rsid w:val="0053409B"/>
    <w:rsid w:val="00534C87"/>
    <w:rsid w:val="0053639C"/>
    <w:rsid w:val="00536C86"/>
    <w:rsid w:val="005376D2"/>
    <w:rsid w:val="0053775D"/>
    <w:rsid w:val="00537AF3"/>
    <w:rsid w:val="00537CD7"/>
    <w:rsid w:val="00537DD3"/>
    <w:rsid w:val="005405B6"/>
    <w:rsid w:val="005409AA"/>
    <w:rsid w:val="00540FB3"/>
    <w:rsid w:val="00544179"/>
    <w:rsid w:val="00544B6C"/>
    <w:rsid w:val="00545BC4"/>
    <w:rsid w:val="00545ED3"/>
    <w:rsid w:val="005464B6"/>
    <w:rsid w:val="00546D8E"/>
    <w:rsid w:val="00547035"/>
    <w:rsid w:val="0054719E"/>
    <w:rsid w:val="00547240"/>
    <w:rsid w:val="0054742C"/>
    <w:rsid w:val="00547FC5"/>
    <w:rsid w:val="00550113"/>
    <w:rsid w:val="005501E0"/>
    <w:rsid w:val="00550AC0"/>
    <w:rsid w:val="00551564"/>
    <w:rsid w:val="00551C65"/>
    <w:rsid w:val="00551F8F"/>
    <w:rsid w:val="005520DE"/>
    <w:rsid w:val="0055230A"/>
    <w:rsid w:val="005523A6"/>
    <w:rsid w:val="00552B5F"/>
    <w:rsid w:val="0055328B"/>
    <w:rsid w:val="00553F41"/>
    <w:rsid w:val="0055416A"/>
    <w:rsid w:val="005548EF"/>
    <w:rsid w:val="00554EEB"/>
    <w:rsid w:val="00555618"/>
    <w:rsid w:val="00555786"/>
    <w:rsid w:val="00555F9E"/>
    <w:rsid w:val="0055719B"/>
    <w:rsid w:val="005574DD"/>
    <w:rsid w:val="005600EC"/>
    <w:rsid w:val="005616F4"/>
    <w:rsid w:val="00561D54"/>
    <w:rsid w:val="005621A6"/>
    <w:rsid w:val="00562265"/>
    <w:rsid w:val="00562315"/>
    <w:rsid w:val="00562340"/>
    <w:rsid w:val="00562ABA"/>
    <w:rsid w:val="00563908"/>
    <w:rsid w:val="00563D03"/>
    <w:rsid w:val="00563E08"/>
    <w:rsid w:val="005649A6"/>
    <w:rsid w:val="00564DFB"/>
    <w:rsid w:val="005656B8"/>
    <w:rsid w:val="00565BD9"/>
    <w:rsid w:val="00566045"/>
    <w:rsid w:val="005668C6"/>
    <w:rsid w:val="00566FF7"/>
    <w:rsid w:val="00567113"/>
    <w:rsid w:val="00567B47"/>
    <w:rsid w:val="0057019A"/>
    <w:rsid w:val="00570837"/>
    <w:rsid w:val="00573324"/>
    <w:rsid w:val="00573A6A"/>
    <w:rsid w:val="00574028"/>
    <w:rsid w:val="00574423"/>
    <w:rsid w:val="00574451"/>
    <w:rsid w:val="00574B13"/>
    <w:rsid w:val="00574D4E"/>
    <w:rsid w:val="00576E53"/>
    <w:rsid w:val="00577ACB"/>
    <w:rsid w:val="00580579"/>
    <w:rsid w:val="00580A41"/>
    <w:rsid w:val="00580AD9"/>
    <w:rsid w:val="00580B73"/>
    <w:rsid w:val="00580C26"/>
    <w:rsid w:val="00580F68"/>
    <w:rsid w:val="00581620"/>
    <w:rsid w:val="00581888"/>
    <w:rsid w:val="00581EF6"/>
    <w:rsid w:val="00581F1D"/>
    <w:rsid w:val="00582002"/>
    <w:rsid w:val="00583027"/>
    <w:rsid w:val="0058302E"/>
    <w:rsid w:val="00583FFE"/>
    <w:rsid w:val="00584420"/>
    <w:rsid w:val="00586357"/>
    <w:rsid w:val="00586630"/>
    <w:rsid w:val="005869CC"/>
    <w:rsid w:val="00586DCF"/>
    <w:rsid w:val="00586F59"/>
    <w:rsid w:val="00587107"/>
    <w:rsid w:val="005900C1"/>
    <w:rsid w:val="0059049D"/>
    <w:rsid w:val="00591547"/>
    <w:rsid w:val="00591BC1"/>
    <w:rsid w:val="00591DF9"/>
    <w:rsid w:val="00592745"/>
    <w:rsid w:val="005936FE"/>
    <w:rsid w:val="00593BA7"/>
    <w:rsid w:val="00593ED3"/>
    <w:rsid w:val="00594BBD"/>
    <w:rsid w:val="0059523F"/>
    <w:rsid w:val="00595A75"/>
    <w:rsid w:val="00596FA1"/>
    <w:rsid w:val="00597381"/>
    <w:rsid w:val="005A0318"/>
    <w:rsid w:val="005A1DAF"/>
    <w:rsid w:val="005A2722"/>
    <w:rsid w:val="005A302A"/>
    <w:rsid w:val="005A3A1F"/>
    <w:rsid w:val="005A40BB"/>
    <w:rsid w:val="005A46DA"/>
    <w:rsid w:val="005A6C1B"/>
    <w:rsid w:val="005A6FC6"/>
    <w:rsid w:val="005B05AF"/>
    <w:rsid w:val="005B09E6"/>
    <w:rsid w:val="005B0E27"/>
    <w:rsid w:val="005B13DA"/>
    <w:rsid w:val="005B14C2"/>
    <w:rsid w:val="005B192B"/>
    <w:rsid w:val="005B309C"/>
    <w:rsid w:val="005B3A5B"/>
    <w:rsid w:val="005B3D13"/>
    <w:rsid w:val="005B3D35"/>
    <w:rsid w:val="005B4708"/>
    <w:rsid w:val="005B474B"/>
    <w:rsid w:val="005B4C64"/>
    <w:rsid w:val="005B502E"/>
    <w:rsid w:val="005B5449"/>
    <w:rsid w:val="005B55EA"/>
    <w:rsid w:val="005B576B"/>
    <w:rsid w:val="005B59CE"/>
    <w:rsid w:val="005B5AA2"/>
    <w:rsid w:val="005B5F5E"/>
    <w:rsid w:val="005B60EE"/>
    <w:rsid w:val="005B6EF3"/>
    <w:rsid w:val="005B7128"/>
    <w:rsid w:val="005B799A"/>
    <w:rsid w:val="005C081D"/>
    <w:rsid w:val="005C1B3A"/>
    <w:rsid w:val="005C1DBC"/>
    <w:rsid w:val="005C2552"/>
    <w:rsid w:val="005C2873"/>
    <w:rsid w:val="005C2F92"/>
    <w:rsid w:val="005C377C"/>
    <w:rsid w:val="005C3A2D"/>
    <w:rsid w:val="005C3CEE"/>
    <w:rsid w:val="005C3DDA"/>
    <w:rsid w:val="005C7718"/>
    <w:rsid w:val="005C7E95"/>
    <w:rsid w:val="005C7F8C"/>
    <w:rsid w:val="005D01BF"/>
    <w:rsid w:val="005D10CB"/>
    <w:rsid w:val="005D10EC"/>
    <w:rsid w:val="005D1138"/>
    <w:rsid w:val="005D140B"/>
    <w:rsid w:val="005D19D2"/>
    <w:rsid w:val="005D1ECF"/>
    <w:rsid w:val="005D2243"/>
    <w:rsid w:val="005D24A7"/>
    <w:rsid w:val="005D24AB"/>
    <w:rsid w:val="005D3455"/>
    <w:rsid w:val="005D374D"/>
    <w:rsid w:val="005D3A2B"/>
    <w:rsid w:val="005D3C93"/>
    <w:rsid w:val="005D4086"/>
    <w:rsid w:val="005D4BAD"/>
    <w:rsid w:val="005D54BD"/>
    <w:rsid w:val="005D54D8"/>
    <w:rsid w:val="005D634A"/>
    <w:rsid w:val="005D6602"/>
    <w:rsid w:val="005D6952"/>
    <w:rsid w:val="005D6ADC"/>
    <w:rsid w:val="005D73EB"/>
    <w:rsid w:val="005D7932"/>
    <w:rsid w:val="005E099F"/>
    <w:rsid w:val="005E0F9C"/>
    <w:rsid w:val="005E1576"/>
    <w:rsid w:val="005E16A7"/>
    <w:rsid w:val="005E2BBB"/>
    <w:rsid w:val="005E2E26"/>
    <w:rsid w:val="005E3A6B"/>
    <w:rsid w:val="005E5C72"/>
    <w:rsid w:val="005E6104"/>
    <w:rsid w:val="005E67DB"/>
    <w:rsid w:val="005E6CF9"/>
    <w:rsid w:val="005E73AA"/>
    <w:rsid w:val="005E758A"/>
    <w:rsid w:val="005E7E06"/>
    <w:rsid w:val="005F0A15"/>
    <w:rsid w:val="005F0B86"/>
    <w:rsid w:val="005F0D45"/>
    <w:rsid w:val="005F0EC4"/>
    <w:rsid w:val="005F128B"/>
    <w:rsid w:val="005F1762"/>
    <w:rsid w:val="005F1A68"/>
    <w:rsid w:val="005F3393"/>
    <w:rsid w:val="005F33B3"/>
    <w:rsid w:val="005F3C44"/>
    <w:rsid w:val="005F478D"/>
    <w:rsid w:val="005F539A"/>
    <w:rsid w:val="005F56B0"/>
    <w:rsid w:val="005F56BA"/>
    <w:rsid w:val="005F5A03"/>
    <w:rsid w:val="005F6A34"/>
    <w:rsid w:val="005F7099"/>
    <w:rsid w:val="0060092D"/>
    <w:rsid w:val="00600B54"/>
    <w:rsid w:val="00600F55"/>
    <w:rsid w:val="006022F3"/>
    <w:rsid w:val="00603025"/>
    <w:rsid w:val="00604451"/>
    <w:rsid w:val="00605B82"/>
    <w:rsid w:val="00606AAE"/>
    <w:rsid w:val="006070C9"/>
    <w:rsid w:val="00607157"/>
    <w:rsid w:val="0060756E"/>
    <w:rsid w:val="0060770C"/>
    <w:rsid w:val="00611BCE"/>
    <w:rsid w:val="00611D5F"/>
    <w:rsid w:val="00612828"/>
    <w:rsid w:val="0061289E"/>
    <w:rsid w:val="00612CB4"/>
    <w:rsid w:val="00612FB3"/>
    <w:rsid w:val="0061309A"/>
    <w:rsid w:val="00613B44"/>
    <w:rsid w:val="00614251"/>
    <w:rsid w:val="00614897"/>
    <w:rsid w:val="006158D3"/>
    <w:rsid w:val="006165CF"/>
    <w:rsid w:val="00616D19"/>
    <w:rsid w:val="0061770D"/>
    <w:rsid w:val="00617D19"/>
    <w:rsid w:val="0062059F"/>
    <w:rsid w:val="00620825"/>
    <w:rsid w:val="00620895"/>
    <w:rsid w:val="00620C65"/>
    <w:rsid w:val="00622EF2"/>
    <w:rsid w:val="0062334D"/>
    <w:rsid w:val="00623861"/>
    <w:rsid w:val="00623C27"/>
    <w:rsid w:val="00623F51"/>
    <w:rsid w:val="00624155"/>
    <w:rsid w:val="00625471"/>
    <w:rsid w:val="00625B52"/>
    <w:rsid w:val="00625FF9"/>
    <w:rsid w:val="006265AE"/>
    <w:rsid w:val="00626B23"/>
    <w:rsid w:val="00626F6A"/>
    <w:rsid w:val="00627473"/>
    <w:rsid w:val="0062792F"/>
    <w:rsid w:val="0062793D"/>
    <w:rsid w:val="00627C79"/>
    <w:rsid w:val="00627EAD"/>
    <w:rsid w:val="0063034C"/>
    <w:rsid w:val="00630C0F"/>
    <w:rsid w:val="00631105"/>
    <w:rsid w:val="00631A9F"/>
    <w:rsid w:val="00631FE0"/>
    <w:rsid w:val="00632BD9"/>
    <w:rsid w:val="00632E0B"/>
    <w:rsid w:val="00632F13"/>
    <w:rsid w:val="00633B9B"/>
    <w:rsid w:val="00633D1A"/>
    <w:rsid w:val="00633F8F"/>
    <w:rsid w:val="00634BA0"/>
    <w:rsid w:val="00635D25"/>
    <w:rsid w:val="00636216"/>
    <w:rsid w:val="006362B3"/>
    <w:rsid w:val="0063630E"/>
    <w:rsid w:val="006378B7"/>
    <w:rsid w:val="00637CA3"/>
    <w:rsid w:val="00637F58"/>
    <w:rsid w:val="00637FD5"/>
    <w:rsid w:val="00640B82"/>
    <w:rsid w:val="00640CE1"/>
    <w:rsid w:val="0064117B"/>
    <w:rsid w:val="0064252D"/>
    <w:rsid w:val="00642936"/>
    <w:rsid w:val="00642FD4"/>
    <w:rsid w:val="0064304E"/>
    <w:rsid w:val="006439D5"/>
    <w:rsid w:val="00643A2A"/>
    <w:rsid w:val="006442EC"/>
    <w:rsid w:val="006448FA"/>
    <w:rsid w:val="00644A03"/>
    <w:rsid w:val="0064574C"/>
    <w:rsid w:val="0064608B"/>
    <w:rsid w:val="00646223"/>
    <w:rsid w:val="0064672D"/>
    <w:rsid w:val="00647698"/>
    <w:rsid w:val="00647821"/>
    <w:rsid w:val="00647A5F"/>
    <w:rsid w:val="00647DDF"/>
    <w:rsid w:val="00651E9F"/>
    <w:rsid w:val="0065205C"/>
    <w:rsid w:val="00652382"/>
    <w:rsid w:val="00652F31"/>
    <w:rsid w:val="00653054"/>
    <w:rsid w:val="00653B8B"/>
    <w:rsid w:val="00653F0E"/>
    <w:rsid w:val="00654C59"/>
    <w:rsid w:val="006551EB"/>
    <w:rsid w:val="00656A60"/>
    <w:rsid w:val="00657555"/>
    <w:rsid w:val="00657A7F"/>
    <w:rsid w:val="00657FBB"/>
    <w:rsid w:val="0066021B"/>
    <w:rsid w:val="00660348"/>
    <w:rsid w:val="006606B3"/>
    <w:rsid w:val="00661B55"/>
    <w:rsid w:val="00661FA1"/>
    <w:rsid w:val="00662007"/>
    <w:rsid w:val="00662025"/>
    <w:rsid w:val="0066215F"/>
    <w:rsid w:val="00662957"/>
    <w:rsid w:val="00663371"/>
    <w:rsid w:val="006649DC"/>
    <w:rsid w:val="00664FCA"/>
    <w:rsid w:val="00664FE0"/>
    <w:rsid w:val="00665A92"/>
    <w:rsid w:val="00665E9D"/>
    <w:rsid w:val="006676EE"/>
    <w:rsid w:val="00667783"/>
    <w:rsid w:val="00667D1D"/>
    <w:rsid w:val="00667E79"/>
    <w:rsid w:val="00670719"/>
    <w:rsid w:val="00670A74"/>
    <w:rsid w:val="0067169E"/>
    <w:rsid w:val="00672286"/>
    <w:rsid w:val="0067242F"/>
    <w:rsid w:val="00672E4E"/>
    <w:rsid w:val="006736BE"/>
    <w:rsid w:val="00673AEF"/>
    <w:rsid w:val="0067555D"/>
    <w:rsid w:val="00675C4F"/>
    <w:rsid w:val="00675E66"/>
    <w:rsid w:val="00676028"/>
    <w:rsid w:val="006761F3"/>
    <w:rsid w:val="0067632C"/>
    <w:rsid w:val="00676D45"/>
    <w:rsid w:val="0067758F"/>
    <w:rsid w:val="00677836"/>
    <w:rsid w:val="00677853"/>
    <w:rsid w:val="00677A85"/>
    <w:rsid w:val="00680AF8"/>
    <w:rsid w:val="00680DFA"/>
    <w:rsid w:val="00681D06"/>
    <w:rsid w:val="00681E4A"/>
    <w:rsid w:val="00682E52"/>
    <w:rsid w:val="00683879"/>
    <w:rsid w:val="00683C3C"/>
    <w:rsid w:val="0068428B"/>
    <w:rsid w:val="00684D11"/>
    <w:rsid w:val="006864DA"/>
    <w:rsid w:val="00687374"/>
    <w:rsid w:val="00687458"/>
    <w:rsid w:val="00687FF6"/>
    <w:rsid w:val="006903DD"/>
    <w:rsid w:val="00690FB0"/>
    <w:rsid w:val="00692414"/>
    <w:rsid w:val="006927C1"/>
    <w:rsid w:val="00693822"/>
    <w:rsid w:val="00694245"/>
    <w:rsid w:val="00694487"/>
    <w:rsid w:val="006958E7"/>
    <w:rsid w:val="00695A56"/>
    <w:rsid w:val="006970D0"/>
    <w:rsid w:val="00697221"/>
    <w:rsid w:val="00697B73"/>
    <w:rsid w:val="006A0C21"/>
    <w:rsid w:val="006A106A"/>
    <w:rsid w:val="006A12E2"/>
    <w:rsid w:val="006A1BE4"/>
    <w:rsid w:val="006A1F54"/>
    <w:rsid w:val="006A24CF"/>
    <w:rsid w:val="006A275F"/>
    <w:rsid w:val="006A327D"/>
    <w:rsid w:val="006A3E29"/>
    <w:rsid w:val="006A48ED"/>
    <w:rsid w:val="006A4D72"/>
    <w:rsid w:val="006A4E02"/>
    <w:rsid w:val="006A532C"/>
    <w:rsid w:val="006A5813"/>
    <w:rsid w:val="006A646F"/>
    <w:rsid w:val="006A7557"/>
    <w:rsid w:val="006A77D3"/>
    <w:rsid w:val="006A7C98"/>
    <w:rsid w:val="006A7EC3"/>
    <w:rsid w:val="006A7FD3"/>
    <w:rsid w:val="006B0224"/>
    <w:rsid w:val="006B0393"/>
    <w:rsid w:val="006B08BC"/>
    <w:rsid w:val="006B093B"/>
    <w:rsid w:val="006B1996"/>
    <w:rsid w:val="006B1F8F"/>
    <w:rsid w:val="006B24D4"/>
    <w:rsid w:val="006B2A1D"/>
    <w:rsid w:val="006B2D8E"/>
    <w:rsid w:val="006B2DFC"/>
    <w:rsid w:val="006B423B"/>
    <w:rsid w:val="006B4E09"/>
    <w:rsid w:val="006B4FE0"/>
    <w:rsid w:val="006B5342"/>
    <w:rsid w:val="006B5E78"/>
    <w:rsid w:val="006B6461"/>
    <w:rsid w:val="006B66BA"/>
    <w:rsid w:val="006B693E"/>
    <w:rsid w:val="006B6989"/>
    <w:rsid w:val="006B6FFD"/>
    <w:rsid w:val="006B73C9"/>
    <w:rsid w:val="006B7B31"/>
    <w:rsid w:val="006B7F1F"/>
    <w:rsid w:val="006C0D9E"/>
    <w:rsid w:val="006C18BE"/>
    <w:rsid w:val="006C2088"/>
    <w:rsid w:val="006C25F9"/>
    <w:rsid w:val="006C48D5"/>
    <w:rsid w:val="006C4A45"/>
    <w:rsid w:val="006C5035"/>
    <w:rsid w:val="006C5F00"/>
    <w:rsid w:val="006C5F98"/>
    <w:rsid w:val="006C6A27"/>
    <w:rsid w:val="006C7152"/>
    <w:rsid w:val="006C7C8A"/>
    <w:rsid w:val="006D2435"/>
    <w:rsid w:val="006D3F83"/>
    <w:rsid w:val="006D4861"/>
    <w:rsid w:val="006D4CFB"/>
    <w:rsid w:val="006D6BCC"/>
    <w:rsid w:val="006D7AD2"/>
    <w:rsid w:val="006D7C37"/>
    <w:rsid w:val="006E136F"/>
    <w:rsid w:val="006E137E"/>
    <w:rsid w:val="006E20EC"/>
    <w:rsid w:val="006E2BE5"/>
    <w:rsid w:val="006E3841"/>
    <w:rsid w:val="006E3F6C"/>
    <w:rsid w:val="006E3FF2"/>
    <w:rsid w:val="006E4A0D"/>
    <w:rsid w:val="006E51D4"/>
    <w:rsid w:val="006E55EB"/>
    <w:rsid w:val="006E5E28"/>
    <w:rsid w:val="006E602F"/>
    <w:rsid w:val="006E6062"/>
    <w:rsid w:val="006E609D"/>
    <w:rsid w:val="006E65A8"/>
    <w:rsid w:val="006E76CB"/>
    <w:rsid w:val="006E7FF2"/>
    <w:rsid w:val="006F014E"/>
    <w:rsid w:val="006F0A46"/>
    <w:rsid w:val="006F17C5"/>
    <w:rsid w:val="006F1E90"/>
    <w:rsid w:val="006F2C59"/>
    <w:rsid w:val="006F3098"/>
    <w:rsid w:val="006F3617"/>
    <w:rsid w:val="006F3700"/>
    <w:rsid w:val="006F4648"/>
    <w:rsid w:val="006F4702"/>
    <w:rsid w:val="006F55C6"/>
    <w:rsid w:val="006F5846"/>
    <w:rsid w:val="006F6814"/>
    <w:rsid w:val="006F6854"/>
    <w:rsid w:val="006F71AF"/>
    <w:rsid w:val="00700003"/>
    <w:rsid w:val="007003C6"/>
    <w:rsid w:val="00700C51"/>
    <w:rsid w:val="00700CD6"/>
    <w:rsid w:val="00700E05"/>
    <w:rsid w:val="00701493"/>
    <w:rsid w:val="00701A00"/>
    <w:rsid w:val="00702196"/>
    <w:rsid w:val="007024B9"/>
    <w:rsid w:val="0070291A"/>
    <w:rsid w:val="00702B2B"/>
    <w:rsid w:val="00703061"/>
    <w:rsid w:val="00703739"/>
    <w:rsid w:val="00703BAA"/>
    <w:rsid w:val="00703D0A"/>
    <w:rsid w:val="00703DB9"/>
    <w:rsid w:val="00703F2B"/>
    <w:rsid w:val="007040B0"/>
    <w:rsid w:val="0070465A"/>
    <w:rsid w:val="00704FD1"/>
    <w:rsid w:val="00706D7F"/>
    <w:rsid w:val="007072ED"/>
    <w:rsid w:val="0070735E"/>
    <w:rsid w:val="00707BBE"/>
    <w:rsid w:val="00707DDB"/>
    <w:rsid w:val="00710181"/>
    <w:rsid w:val="00710749"/>
    <w:rsid w:val="00710B5B"/>
    <w:rsid w:val="007117B5"/>
    <w:rsid w:val="00711902"/>
    <w:rsid w:val="007125FD"/>
    <w:rsid w:val="00712C94"/>
    <w:rsid w:val="007136D0"/>
    <w:rsid w:val="007139A1"/>
    <w:rsid w:val="00715FB3"/>
    <w:rsid w:val="00716175"/>
    <w:rsid w:val="007162C0"/>
    <w:rsid w:val="007163B0"/>
    <w:rsid w:val="00716439"/>
    <w:rsid w:val="00721031"/>
    <w:rsid w:val="00721C6A"/>
    <w:rsid w:val="0072219B"/>
    <w:rsid w:val="007221A6"/>
    <w:rsid w:val="0072280A"/>
    <w:rsid w:val="007235B6"/>
    <w:rsid w:val="00723A0E"/>
    <w:rsid w:val="00724102"/>
    <w:rsid w:val="00724309"/>
    <w:rsid w:val="00724648"/>
    <w:rsid w:val="0072552E"/>
    <w:rsid w:val="0072655E"/>
    <w:rsid w:val="007270E5"/>
    <w:rsid w:val="007276A7"/>
    <w:rsid w:val="00730832"/>
    <w:rsid w:val="00730BAF"/>
    <w:rsid w:val="007315EF"/>
    <w:rsid w:val="00733496"/>
    <w:rsid w:val="007336A9"/>
    <w:rsid w:val="007337CD"/>
    <w:rsid w:val="00734236"/>
    <w:rsid w:val="007347FA"/>
    <w:rsid w:val="007349BA"/>
    <w:rsid w:val="00734CAF"/>
    <w:rsid w:val="00734EB4"/>
    <w:rsid w:val="0073562C"/>
    <w:rsid w:val="00736429"/>
    <w:rsid w:val="00736903"/>
    <w:rsid w:val="00736B20"/>
    <w:rsid w:val="00736EB7"/>
    <w:rsid w:val="0073729C"/>
    <w:rsid w:val="00737484"/>
    <w:rsid w:val="00740074"/>
    <w:rsid w:val="007406E8"/>
    <w:rsid w:val="00741172"/>
    <w:rsid w:val="00741201"/>
    <w:rsid w:val="00741CCB"/>
    <w:rsid w:val="00741D06"/>
    <w:rsid w:val="00742039"/>
    <w:rsid w:val="0074226F"/>
    <w:rsid w:val="0074283F"/>
    <w:rsid w:val="0074374B"/>
    <w:rsid w:val="00744791"/>
    <w:rsid w:val="00744826"/>
    <w:rsid w:val="007454AE"/>
    <w:rsid w:val="00745F86"/>
    <w:rsid w:val="00746636"/>
    <w:rsid w:val="0074668D"/>
    <w:rsid w:val="0074673B"/>
    <w:rsid w:val="00746865"/>
    <w:rsid w:val="007468DA"/>
    <w:rsid w:val="007469A1"/>
    <w:rsid w:val="00747958"/>
    <w:rsid w:val="00747978"/>
    <w:rsid w:val="00747C8F"/>
    <w:rsid w:val="007502C3"/>
    <w:rsid w:val="00750375"/>
    <w:rsid w:val="007503F3"/>
    <w:rsid w:val="00751D39"/>
    <w:rsid w:val="00751F13"/>
    <w:rsid w:val="00752A42"/>
    <w:rsid w:val="00752E6B"/>
    <w:rsid w:val="00752ED4"/>
    <w:rsid w:val="00753072"/>
    <w:rsid w:val="007531A8"/>
    <w:rsid w:val="00753232"/>
    <w:rsid w:val="007543D2"/>
    <w:rsid w:val="00754C06"/>
    <w:rsid w:val="00755C65"/>
    <w:rsid w:val="00756693"/>
    <w:rsid w:val="00757797"/>
    <w:rsid w:val="007579B7"/>
    <w:rsid w:val="00757BDF"/>
    <w:rsid w:val="00757FF3"/>
    <w:rsid w:val="00760107"/>
    <w:rsid w:val="00761CEA"/>
    <w:rsid w:val="0076226E"/>
    <w:rsid w:val="00762621"/>
    <w:rsid w:val="0076377C"/>
    <w:rsid w:val="00764037"/>
    <w:rsid w:val="0076449E"/>
    <w:rsid w:val="00764AAA"/>
    <w:rsid w:val="00764C22"/>
    <w:rsid w:val="007651E6"/>
    <w:rsid w:val="00765B01"/>
    <w:rsid w:val="00766422"/>
    <w:rsid w:val="007669B9"/>
    <w:rsid w:val="00766DB6"/>
    <w:rsid w:val="00770663"/>
    <w:rsid w:val="00771055"/>
    <w:rsid w:val="007718AC"/>
    <w:rsid w:val="007721A5"/>
    <w:rsid w:val="007722F0"/>
    <w:rsid w:val="0077237D"/>
    <w:rsid w:val="00772CDB"/>
    <w:rsid w:val="00772E0C"/>
    <w:rsid w:val="00773970"/>
    <w:rsid w:val="0077415F"/>
    <w:rsid w:val="007744C6"/>
    <w:rsid w:val="0077526C"/>
    <w:rsid w:val="007755AA"/>
    <w:rsid w:val="00775AEE"/>
    <w:rsid w:val="007762C7"/>
    <w:rsid w:val="00776717"/>
    <w:rsid w:val="007773B7"/>
    <w:rsid w:val="007774FB"/>
    <w:rsid w:val="00780A48"/>
    <w:rsid w:val="0078164F"/>
    <w:rsid w:val="00781650"/>
    <w:rsid w:val="00781B9F"/>
    <w:rsid w:val="00782E9D"/>
    <w:rsid w:val="0078317A"/>
    <w:rsid w:val="00783E11"/>
    <w:rsid w:val="00784FC7"/>
    <w:rsid w:val="007858FF"/>
    <w:rsid w:val="0078706C"/>
    <w:rsid w:val="007907A4"/>
    <w:rsid w:val="00790A0C"/>
    <w:rsid w:val="00790D7E"/>
    <w:rsid w:val="00790FB8"/>
    <w:rsid w:val="00791730"/>
    <w:rsid w:val="00791FEE"/>
    <w:rsid w:val="0079255E"/>
    <w:rsid w:val="007929A7"/>
    <w:rsid w:val="00792C47"/>
    <w:rsid w:val="00792D98"/>
    <w:rsid w:val="00793C2A"/>
    <w:rsid w:val="00794A09"/>
    <w:rsid w:val="00794D6A"/>
    <w:rsid w:val="007951C8"/>
    <w:rsid w:val="0079526C"/>
    <w:rsid w:val="0079527E"/>
    <w:rsid w:val="007954EE"/>
    <w:rsid w:val="007965E1"/>
    <w:rsid w:val="0079690A"/>
    <w:rsid w:val="0079691A"/>
    <w:rsid w:val="00796FCB"/>
    <w:rsid w:val="00797948"/>
    <w:rsid w:val="00797AED"/>
    <w:rsid w:val="007A0011"/>
    <w:rsid w:val="007A0CD1"/>
    <w:rsid w:val="007A107E"/>
    <w:rsid w:val="007A1815"/>
    <w:rsid w:val="007A1967"/>
    <w:rsid w:val="007A1D4B"/>
    <w:rsid w:val="007A20EF"/>
    <w:rsid w:val="007A31DC"/>
    <w:rsid w:val="007A32E7"/>
    <w:rsid w:val="007A44F6"/>
    <w:rsid w:val="007A4A62"/>
    <w:rsid w:val="007A5882"/>
    <w:rsid w:val="007A5F3E"/>
    <w:rsid w:val="007A63F4"/>
    <w:rsid w:val="007A69E2"/>
    <w:rsid w:val="007A6AD9"/>
    <w:rsid w:val="007A6D18"/>
    <w:rsid w:val="007A7125"/>
    <w:rsid w:val="007B028F"/>
    <w:rsid w:val="007B092F"/>
    <w:rsid w:val="007B0D37"/>
    <w:rsid w:val="007B1005"/>
    <w:rsid w:val="007B115F"/>
    <w:rsid w:val="007B14F4"/>
    <w:rsid w:val="007B1533"/>
    <w:rsid w:val="007B1BF0"/>
    <w:rsid w:val="007B1C81"/>
    <w:rsid w:val="007B1D33"/>
    <w:rsid w:val="007B2232"/>
    <w:rsid w:val="007B25EB"/>
    <w:rsid w:val="007B3195"/>
    <w:rsid w:val="007B359A"/>
    <w:rsid w:val="007B414E"/>
    <w:rsid w:val="007B417D"/>
    <w:rsid w:val="007B480D"/>
    <w:rsid w:val="007B6162"/>
    <w:rsid w:val="007B6AD5"/>
    <w:rsid w:val="007B7727"/>
    <w:rsid w:val="007B78A0"/>
    <w:rsid w:val="007B7AD9"/>
    <w:rsid w:val="007C036B"/>
    <w:rsid w:val="007C0E31"/>
    <w:rsid w:val="007C0EA6"/>
    <w:rsid w:val="007C1701"/>
    <w:rsid w:val="007C1CED"/>
    <w:rsid w:val="007C1E07"/>
    <w:rsid w:val="007C2203"/>
    <w:rsid w:val="007C2878"/>
    <w:rsid w:val="007C3529"/>
    <w:rsid w:val="007C369C"/>
    <w:rsid w:val="007C59F3"/>
    <w:rsid w:val="007C62BC"/>
    <w:rsid w:val="007C674C"/>
    <w:rsid w:val="007C67A9"/>
    <w:rsid w:val="007C6DD8"/>
    <w:rsid w:val="007C6E3E"/>
    <w:rsid w:val="007C6FA2"/>
    <w:rsid w:val="007C705E"/>
    <w:rsid w:val="007C7A07"/>
    <w:rsid w:val="007C7E0D"/>
    <w:rsid w:val="007C7EFB"/>
    <w:rsid w:val="007C7FF4"/>
    <w:rsid w:val="007D0238"/>
    <w:rsid w:val="007D09AD"/>
    <w:rsid w:val="007D0A36"/>
    <w:rsid w:val="007D0D42"/>
    <w:rsid w:val="007D12AE"/>
    <w:rsid w:val="007D2075"/>
    <w:rsid w:val="007D29F2"/>
    <w:rsid w:val="007D4984"/>
    <w:rsid w:val="007D4B09"/>
    <w:rsid w:val="007D4BEC"/>
    <w:rsid w:val="007D57E6"/>
    <w:rsid w:val="007D5A6B"/>
    <w:rsid w:val="007D5C68"/>
    <w:rsid w:val="007D5F03"/>
    <w:rsid w:val="007D632E"/>
    <w:rsid w:val="007D65DF"/>
    <w:rsid w:val="007D67FA"/>
    <w:rsid w:val="007D6B01"/>
    <w:rsid w:val="007D6E5D"/>
    <w:rsid w:val="007D7AC5"/>
    <w:rsid w:val="007D7ED0"/>
    <w:rsid w:val="007D7EF9"/>
    <w:rsid w:val="007E035B"/>
    <w:rsid w:val="007E0FC9"/>
    <w:rsid w:val="007E14E0"/>
    <w:rsid w:val="007E206C"/>
    <w:rsid w:val="007E2514"/>
    <w:rsid w:val="007E2725"/>
    <w:rsid w:val="007E3343"/>
    <w:rsid w:val="007E3B68"/>
    <w:rsid w:val="007E40F0"/>
    <w:rsid w:val="007E43FA"/>
    <w:rsid w:val="007E5250"/>
    <w:rsid w:val="007E5943"/>
    <w:rsid w:val="007E5B66"/>
    <w:rsid w:val="007E5CAE"/>
    <w:rsid w:val="007E6191"/>
    <w:rsid w:val="007E6225"/>
    <w:rsid w:val="007E6590"/>
    <w:rsid w:val="007E7E7C"/>
    <w:rsid w:val="007F032F"/>
    <w:rsid w:val="007F0F51"/>
    <w:rsid w:val="007F144A"/>
    <w:rsid w:val="007F154B"/>
    <w:rsid w:val="007F1DFB"/>
    <w:rsid w:val="007F2C0E"/>
    <w:rsid w:val="007F309D"/>
    <w:rsid w:val="007F3D9F"/>
    <w:rsid w:val="007F3F16"/>
    <w:rsid w:val="007F4057"/>
    <w:rsid w:val="007F435E"/>
    <w:rsid w:val="007F4466"/>
    <w:rsid w:val="007F4672"/>
    <w:rsid w:val="007F592D"/>
    <w:rsid w:val="007F5A13"/>
    <w:rsid w:val="007F6810"/>
    <w:rsid w:val="007F68C8"/>
    <w:rsid w:val="007F71A7"/>
    <w:rsid w:val="007F7792"/>
    <w:rsid w:val="007F794A"/>
    <w:rsid w:val="00800D11"/>
    <w:rsid w:val="0080175D"/>
    <w:rsid w:val="00801FC2"/>
    <w:rsid w:val="00802311"/>
    <w:rsid w:val="008030D3"/>
    <w:rsid w:val="008031C1"/>
    <w:rsid w:val="008038D0"/>
    <w:rsid w:val="00803BD6"/>
    <w:rsid w:val="00803C33"/>
    <w:rsid w:val="008042E8"/>
    <w:rsid w:val="008044FD"/>
    <w:rsid w:val="008049BC"/>
    <w:rsid w:val="00804C45"/>
    <w:rsid w:val="00804EC1"/>
    <w:rsid w:val="00805254"/>
    <w:rsid w:val="008065E1"/>
    <w:rsid w:val="00806CDD"/>
    <w:rsid w:val="008072E9"/>
    <w:rsid w:val="00810486"/>
    <w:rsid w:val="00812015"/>
    <w:rsid w:val="0081256E"/>
    <w:rsid w:val="00812A39"/>
    <w:rsid w:val="00812A49"/>
    <w:rsid w:val="0081444E"/>
    <w:rsid w:val="008148BA"/>
    <w:rsid w:val="00814BBC"/>
    <w:rsid w:val="00815086"/>
    <w:rsid w:val="0081586E"/>
    <w:rsid w:val="00815B61"/>
    <w:rsid w:val="00815D6A"/>
    <w:rsid w:val="00816475"/>
    <w:rsid w:val="0081653D"/>
    <w:rsid w:val="00816774"/>
    <w:rsid w:val="0081735E"/>
    <w:rsid w:val="008175E2"/>
    <w:rsid w:val="00817FA4"/>
    <w:rsid w:val="00820B22"/>
    <w:rsid w:val="008211F9"/>
    <w:rsid w:val="008216F6"/>
    <w:rsid w:val="00822358"/>
    <w:rsid w:val="0082302D"/>
    <w:rsid w:val="0082308D"/>
    <w:rsid w:val="0082389A"/>
    <w:rsid w:val="00823D4E"/>
    <w:rsid w:val="00823E34"/>
    <w:rsid w:val="00824307"/>
    <w:rsid w:val="00824721"/>
    <w:rsid w:val="00824F08"/>
    <w:rsid w:val="00824F34"/>
    <w:rsid w:val="00825DDE"/>
    <w:rsid w:val="008261C4"/>
    <w:rsid w:val="0082621E"/>
    <w:rsid w:val="00826877"/>
    <w:rsid w:val="0082690E"/>
    <w:rsid w:val="008275C2"/>
    <w:rsid w:val="008278F0"/>
    <w:rsid w:val="00827E4B"/>
    <w:rsid w:val="0083043C"/>
    <w:rsid w:val="008308A8"/>
    <w:rsid w:val="00830AC2"/>
    <w:rsid w:val="00830CB9"/>
    <w:rsid w:val="008314B5"/>
    <w:rsid w:val="00831D3A"/>
    <w:rsid w:val="00832526"/>
    <w:rsid w:val="00832DF6"/>
    <w:rsid w:val="0083346D"/>
    <w:rsid w:val="00833596"/>
    <w:rsid w:val="00833FE4"/>
    <w:rsid w:val="00833FEB"/>
    <w:rsid w:val="0083660B"/>
    <w:rsid w:val="00836693"/>
    <w:rsid w:val="008367EE"/>
    <w:rsid w:val="00836C22"/>
    <w:rsid w:val="00837633"/>
    <w:rsid w:val="00837881"/>
    <w:rsid w:val="008405B0"/>
    <w:rsid w:val="00840707"/>
    <w:rsid w:val="00840981"/>
    <w:rsid w:val="00841344"/>
    <w:rsid w:val="008416B6"/>
    <w:rsid w:val="00841780"/>
    <w:rsid w:val="00841DF1"/>
    <w:rsid w:val="008425B8"/>
    <w:rsid w:val="00842F2C"/>
    <w:rsid w:val="0084312D"/>
    <w:rsid w:val="0084322C"/>
    <w:rsid w:val="0084409E"/>
    <w:rsid w:val="00844768"/>
    <w:rsid w:val="00844F56"/>
    <w:rsid w:val="008458B2"/>
    <w:rsid w:val="00845970"/>
    <w:rsid w:val="00846162"/>
    <w:rsid w:val="008470DF"/>
    <w:rsid w:val="00847295"/>
    <w:rsid w:val="0084744A"/>
    <w:rsid w:val="0084761C"/>
    <w:rsid w:val="00847709"/>
    <w:rsid w:val="008479E6"/>
    <w:rsid w:val="00847E25"/>
    <w:rsid w:val="00850708"/>
    <w:rsid w:val="00851241"/>
    <w:rsid w:val="00851C8B"/>
    <w:rsid w:val="00851E7A"/>
    <w:rsid w:val="00852783"/>
    <w:rsid w:val="00854867"/>
    <w:rsid w:val="00854FB7"/>
    <w:rsid w:val="0085516C"/>
    <w:rsid w:val="0085555F"/>
    <w:rsid w:val="00856479"/>
    <w:rsid w:val="00856D9D"/>
    <w:rsid w:val="0086103E"/>
    <w:rsid w:val="00861DA2"/>
    <w:rsid w:val="00862D24"/>
    <w:rsid w:val="008631B5"/>
    <w:rsid w:val="00863E49"/>
    <w:rsid w:val="00865CCC"/>
    <w:rsid w:val="0086660B"/>
    <w:rsid w:val="00866A0C"/>
    <w:rsid w:val="008679B8"/>
    <w:rsid w:val="008701A8"/>
    <w:rsid w:val="00870863"/>
    <w:rsid w:val="00871932"/>
    <w:rsid w:val="00872350"/>
    <w:rsid w:val="008727B5"/>
    <w:rsid w:val="00873088"/>
    <w:rsid w:val="00873ED7"/>
    <w:rsid w:val="00873EF7"/>
    <w:rsid w:val="008741E9"/>
    <w:rsid w:val="008751B6"/>
    <w:rsid w:val="0087545A"/>
    <w:rsid w:val="008756D8"/>
    <w:rsid w:val="0087656D"/>
    <w:rsid w:val="0087695B"/>
    <w:rsid w:val="008769EB"/>
    <w:rsid w:val="0087761C"/>
    <w:rsid w:val="0087769B"/>
    <w:rsid w:val="00877908"/>
    <w:rsid w:val="00877D48"/>
    <w:rsid w:val="008806A2"/>
    <w:rsid w:val="00880A16"/>
    <w:rsid w:val="00880CA1"/>
    <w:rsid w:val="00881F3B"/>
    <w:rsid w:val="008824EA"/>
    <w:rsid w:val="00882CD1"/>
    <w:rsid w:val="0088305A"/>
    <w:rsid w:val="008847DE"/>
    <w:rsid w:val="00887423"/>
    <w:rsid w:val="0089080A"/>
    <w:rsid w:val="008910FD"/>
    <w:rsid w:val="008912A1"/>
    <w:rsid w:val="008912D1"/>
    <w:rsid w:val="008916BD"/>
    <w:rsid w:val="0089181D"/>
    <w:rsid w:val="008919F6"/>
    <w:rsid w:val="00891C79"/>
    <w:rsid w:val="00891D0D"/>
    <w:rsid w:val="00891DAC"/>
    <w:rsid w:val="008922A5"/>
    <w:rsid w:val="008928F3"/>
    <w:rsid w:val="00893757"/>
    <w:rsid w:val="0089457C"/>
    <w:rsid w:val="00894C1A"/>
    <w:rsid w:val="00894DEA"/>
    <w:rsid w:val="00895BD5"/>
    <w:rsid w:val="008964D7"/>
    <w:rsid w:val="00897976"/>
    <w:rsid w:val="008A028F"/>
    <w:rsid w:val="008A2408"/>
    <w:rsid w:val="008A48F1"/>
    <w:rsid w:val="008A63F3"/>
    <w:rsid w:val="008A6DB6"/>
    <w:rsid w:val="008A7274"/>
    <w:rsid w:val="008A7290"/>
    <w:rsid w:val="008B004F"/>
    <w:rsid w:val="008B1A43"/>
    <w:rsid w:val="008B256B"/>
    <w:rsid w:val="008B2DA4"/>
    <w:rsid w:val="008B316F"/>
    <w:rsid w:val="008B4184"/>
    <w:rsid w:val="008B4C0C"/>
    <w:rsid w:val="008B4C3F"/>
    <w:rsid w:val="008B5229"/>
    <w:rsid w:val="008B5263"/>
    <w:rsid w:val="008B57B7"/>
    <w:rsid w:val="008B610E"/>
    <w:rsid w:val="008B65B8"/>
    <w:rsid w:val="008B6748"/>
    <w:rsid w:val="008B7653"/>
    <w:rsid w:val="008B78F4"/>
    <w:rsid w:val="008C045C"/>
    <w:rsid w:val="008C072D"/>
    <w:rsid w:val="008C075E"/>
    <w:rsid w:val="008C07C6"/>
    <w:rsid w:val="008C3A57"/>
    <w:rsid w:val="008C3FCC"/>
    <w:rsid w:val="008C5916"/>
    <w:rsid w:val="008C73BB"/>
    <w:rsid w:val="008C7852"/>
    <w:rsid w:val="008C7E46"/>
    <w:rsid w:val="008D00B0"/>
    <w:rsid w:val="008D01D2"/>
    <w:rsid w:val="008D06F3"/>
    <w:rsid w:val="008D0D9D"/>
    <w:rsid w:val="008D1FC7"/>
    <w:rsid w:val="008D2AD4"/>
    <w:rsid w:val="008D2C0C"/>
    <w:rsid w:val="008D3CB0"/>
    <w:rsid w:val="008D4270"/>
    <w:rsid w:val="008D4346"/>
    <w:rsid w:val="008D4356"/>
    <w:rsid w:val="008D4CE8"/>
    <w:rsid w:val="008D5841"/>
    <w:rsid w:val="008D65BD"/>
    <w:rsid w:val="008D693A"/>
    <w:rsid w:val="008D6AA5"/>
    <w:rsid w:val="008D6FDB"/>
    <w:rsid w:val="008D745A"/>
    <w:rsid w:val="008D75CD"/>
    <w:rsid w:val="008E04FA"/>
    <w:rsid w:val="008E05A4"/>
    <w:rsid w:val="008E0CF8"/>
    <w:rsid w:val="008E196E"/>
    <w:rsid w:val="008E203B"/>
    <w:rsid w:val="008E33BC"/>
    <w:rsid w:val="008E3BF8"/>
    <w:rsid w:val="008E3D20"/>
    <w:rsid w:val="008E3F78"/>
    <w:rsid w:val="008E49E6"/>
    <w:rsid w:val="008E5B79"/>
    <w:rsid w:val="008E6568"/>
    <w:rsid w:val="008E6DA5"/>
    <w:rsid w:val="008E708E"/>
    <w:rsid w:val="008E7C06"/>
    <w:rsid w:val="008F02F6"/>
    <w:rsid w:val="008F0439"/>
    <w:rsid w:val="008F09F2"/>
    <w:rsid w:val="008F0A0E"/>
    <w:rsid w:val="008F0AC3"/>
    <w:rsid w:val="008F1219"/>
    <w:rsid w:val="008F12D7"/>
    <w:rsid w:val="008F1507"/>
    <w:rsid w:val="008F24DD"/>
    <w:rsid w:val="008F34B6"/>
    <w:rsid w:val="008F442C"/>
    <w:rsid w:val="008F4713"/>
    <w:rsid w:val="008F53BE"/>
    <w:rsid w:val="008F57E5"/>
    <w:rsid w:val="008F623C"/>
    <w:rsid w:val="008F66BF"/>
    <w:rsid w:val="008F66F2"/>
    <w:rsid w:val="008F68C1"/>
    <w:rsid w:val="008F6A71"/>
    <w:rsid w:val="008F740F"/>
    <w:rsid w:val="00900199"/>
    <w:rsid w:val="009005BC"/>
    <w:rsid w:val="00901667"/>
    <w:rsid w:val="00901D98"/>
    <w:rsid w:val="009026FD"/>
    <w:rsid w:val="00902B02"/>
    <w:rsid w:val="00902BEC"/>
    <w:rsid w:val="00902EDA"/>
    <w:rsid w:val="00903674"/>
    <w:rsid w:val="00903AFA"/>
    <w:rsid w:val="00903B1B"/>
    <w:rsid w:val="00903C7D"/>
    <w:rsid w:val="0090414D"/>
    <w:rsid w:val="0090461D"/>
    <w:rsid w:val="009046DB"/>
    <w:rsid w:val="009047D3"/>
    <w:rsid w:val="00904807"/>
    <w:rsid w:val="00904B90"/>
    <w:rsid w:val="00904E31"/>
    <w:rsid w:val="00905064"/>
    <w:rsid w:val="00905607"/>
    <w:rsid w:val="00905ADD"/>
    <w:rsid w:val="00905AFB"/>
    <w:rsid w:val="0090607A"/>
    <w:rsid w:val="00906213"/>
    <w:rsid w:val="00906EE1"/>
    <w:rsid w:val="00907964"/>
    <w:rsid w:val="00907CA1"/>
    <w:rsid w:val="0091092E"/>
    <w:rsid w:val="00911240"/>
    <w:rsid w:val="00911FF8"/>
    <w:rsid w:val="009124F1"/>
    <w:rsid w:val="009127D7"/>
    <w:rsid w:val="00912BFD"/>
    <w:rsid w:val="00912FF4"/>
    <w:rsid w:val="00913026"/>
    <w:rsid w:val="00913A56"/>
    <w:rsid w:val="00913E24"/>
    <w:rsid w:val="00913ECE"/>
    <w:rsid w:val="00913EDF"/>
    <w:rsid w:val="009142C2"/>
    <w:rsid w:val="00914355"/>
    <w:rsid w:val="00914FFD"/>
    <w:rsid w:val="00916626"/>
    <w:rsid w:val="00916847"/>
    <w:rsid w:val="009168C8"/>
    <w:rsid w:val="009169BC"/>
    <w:rsid w:val="00916C62"/>
    <w:rsid w:val="0091778F"/>
    <w:rsid w:val="00920BA6"/>
    <w:rsid w:val="009213EB"/>
    <w:rsid w:val="00921C27"/>
    <w:rsid w:val="00922CF2"/>
    <w:rsid w:val="00923871"/>
    <w:rsid w:val="00923A75"/>
    <w:rsid w:val="00923F47"/>
    <w:rsid w:val="00923FAF"/>
    <w:rsid w:val="0092497B"/>
    <w:rsid w:val="00924A82"/>
    <w:rsid w:val="009250D3"/>
    <w:rsid w:val="009252FD"/>
    <w:rsid w:val="00925776"/>
    <w:rsid w:val="00926354"/>
    <w:rsid w:val="0092692F"/>
    <w:rsid w:val="00930019"/>
    <w:rsid w:val="00930B2B"/>
    <w:rsid w:val="00930F8F"/>
    <w:rsid w:val="00931DB3"/>
    <w:rsid w:val="009323CF"/>
    <w:rsid w:val="0093266A"/>
    <w:rsid w:val="00932AA3"/>
    <w:rsid w:val="00932E2D"/>
    <w:rsid w:val="00933550"/>
    <w:rsid w:val="0093364A"/>
    <w:rsid w:val="00933CA8"/>
    <w:rsid w:val="00933E19"/>
    <w:rsid w:val="00934F8F"/>
    <w:rsid w:val="00934FCA"/>
    <w:rsid w:val="0093626D"/>
    <w:rsid w:val="00936305"/>
    <w:rsid w:val="00936960"/>
    <w:rsid w:val="009374ED"/>
    <w:rsid w:val="009376D5"/>
    <w:rsid w:val="0093778F"/>
    <w:rsid w:val="00937A72"/>
    <w:rsid w:val="00940980"/>
    <w:rsid w:val="00940B23"/>
    <w:rsid w:val="009411EA"/>
    <w:rsid w:val="00941467"/>
    <w:rsid w:val="0094188E"/>
    <w:rsid w:val="009426D2"/>
    <w:rsid w:val="00942ABF"/>
    <w:rsid w:val="00942D5E"/>
    <w:rsid w:val="00943605"/>
    <w:rsid w:val="00943E3C"/>
    <w:rsid w:val="00943EFB"/>
    <w:rsid w:val="0094413C"/>
    <w:rsid w:val="00945443"/>
    <w:rsid w:val="00946137"/>
    <w:rsid w:val="00947263"/>
    <w:rsid w:val="00947488"/>
    <w:rsid w:val="00947566"/>
    <w:rsid w:val="0094765F"/>
    <w:rsid w:val="00947707"/>
    <w:rsid w:val="00950581"/>
    <w:rsid w:val="00950859"/>
    <w:rsid w:val="00951239"/>
    <w:rsid w:val="00951BF4"/>
    <w:rsid w:val="00953089"/>
    <w:rsid w:val="00953591"/>
    <w:rsid w:val="00953D99"/>
    <w:rsid w:val="00955269"/>
    <w:rsid w:val="0095536B"/>
    <w:rsid w:val="0095553E"/>
    <w:rsid w:val="009557C6"/>
    <w:rsid w:val="00955891"/>
    <w:rsid w:val="00957901"/>
    <w:rsid w:val="0096012C"/>
    <w:rsid w:val="009602FD"/>
    <w:rsid w:val="00960841"/>
    <w:rsid w:val="009608B1"/>
    <w:rsid w:val="00960989"/>
    <w:rsid w:val="00960B91"/>
    <w:rsid w:val="00960F8E"/>
    <w:rsid w:val="00962354"/>
    <w:rsid w:val="00962698"/>
    <w:rsid w:val="00962730"/>
    <w:rsid w:val="009628B3"/>
    <w:rsid w:val="009629E1"/>
    <w:rsid w:val="00963302"/>
    <w:rsid w:val="009636F5"/>
    <w:rsid w:val="0096378B"/>
    <w:rsid w:val="009637F0"/>
    <w:rsid w:val="00963E41"/>
    <w:rsid w:val="009645DB"/>
    <w:rsid w:val="00965623"/>
    <w:rsid w:val="0096588C"/>
    <w:rsid w:val="00966A94"/>
    <w:rsid w:val="00967FE5"/>
    <w:rsid w:val="00970205"/>
    <w:rsid w:val="009706DF"/>
    <w:rsid w:val="00971BFE"/>
    <w:rsid w:val="00972D10"/>
    <w:rsid w:val="009731FD"/>
    <w:rsid w:val="00973506"/>
    <w:rsid w:val="00973879"/>
    <w:rsid w:val="00973A71"/>
    <w:rsid w:val="00973FC7"/>
    <w:rsid w:val="00975F28"/>
    <w:rsid w:val="00976959"/>
    <w:rsid w:val="00976AAE"/>
    <w:rsid w:val="00980521"/>
    <w:rsid w:val="00980FCD"/>
    <w:rsid w:val="00981C2F"/>
    <w:rsid w:val="00982D61"/>
    <w:rsid w:val="009834D8"/>
    <w:rsid w:val="00983715"/>
    <w:rsid w:val="00983DAB"/>
    <w:rsid w:val="00984066"/>
    <w:rsid w:val="0098445B"/>
    <w:rsid w:val="009844E6"/>
    <w:rsid w:val="009845E5"/>
    <w:rsid w:val="00984F42"/>
    <w:rsid w:val="00985197"/>
    <w:rsid w:val="009851C8"/>
    <w:rsid w:val="00985264"/>
    <w:rsid w:val="0098585F"/>
    <w:rsid w:val="009862EF"/>
    <w:rsid w:val="009866E5"/>
    <w:rsid w:val="0098673F"/>
    <w:rsid w:val="00986A85"/>
    <w:rsid w:val="00990045"/>
    <w:rsid w:val="009906C2"/>
    <w:rsid w:val="00990955"/>
    <w:rsid w:val="00990DCD"/>
    <w:rsid w:val="00990EA8"/>
    <w:rsid w:val="0099140B"/>
    <w:rsid w:val="00991680"/>
    <w:rsid w:val="009918E2"/>
    <w:rsid w:val="00991A10"/>
    <w:rsid w:val="00991EC3"/>
    <w:rsid w:val="00992D49"/>
    <w:rsid w:val="00992D8D"/>
    <w:rsid w:val="0099330B"/>
    <w:rsid w:val="00995AC4"/>
    <w:rsid w:val="00995E8B"/>
    <w:rsid w:val="00997AD5"/>
    <w:rsid w:val="00997BD3"/>
    <w:rsid w:val="009A0903"/>
    <w:rsid w:val="009A0C2A"/>
    <w:rsid w:val="009A21CA"/>
    <w:rsid w:val="009A22D0"/>
    <w:rsid w:val="009A2481"/>
    <w:rsid w:val="009A2BD1"/>
    <w:rsid w:val="009A447E"/>
    <w:rsid w:val="009A44CA"/>
    <w:rsid w:val="009A4DF8"/>
    <w:rsid w:val="009A4E9A"/>
    <w:rsid w:val="009A6191"/>
    <w:rsid w:val="009A648A"/>
    <w:rsid w:val="009A6C63"/>
    <w:rsid w:val="009A6E2F"/>
    <w:rsid w:val="009A7679"/>
    <w:rsid w:val="009A7D58"/>
    <w:rsid w:val="009B01E8"/>
    <w:rsid w:val="009B026A"/>
    <w:rsid w:val="009B05FF"/>
    <w:rsid w:val="009B083D"/>
    <w:rsid w:val="009B1276"/>
    <w:rsid w:val="009B1536"/>
    <w:rsid w:val="009B1748"/>
    <w:rsid w:val="009B18E6"/>
    <w:rsid w:val="009B204D"/>
    <w:rsid w:val="009B2440"/>
    <w:rsid w:val="009B29A6"/>
    <w:rsid w:val="009B2B78"/>
    <w:rsid w:val="009B2CA3"/>
    <w:rsid w:val="009B3A08"/>
    <w:rsid w:val="009B4130"/>
    <w:rsid w:val="009B47AB"/>
    <w:rsid w:val="009B4E6A"/>
    <w:rsid w:val="009B546F"/>
    <w:rsid w:val="009B5CC7"/>
    <w:rsid w:val="009B629C"/>
    <w:rsid w:val="009B6A4D"/>
    <w:rsid w:val="009B71C3"/>
    <w:rsid w:val="009B7E02"/>
    <w:rsid w:val="009C0B95"/>
    <w:rsid w:val="009C0FB9"/>
    <w:rsid w:val="009C2E73"/>
    <w:rsid w:val="009C527C"/>
    <w:rsid w:val="009C6606"/>
    <w:rsid w:val="009C7101"/>
    <w:rsid w:val="009C753E"/>
    <w:rsid w:val="009C78E8"/>
    <w:rsid w:val="009C7E74"/>
    <w:rsid w:val="009D03A1"/>
    <w:rsid w:val="009D064E"/>
    <w:rsid w:val="009D15B9"/>
    <w:rsid w:val="009D174A"/>
    <w:rsid w:val="009D1A53"/>
    <w:rsid w:val="009D1A67"/>
    <w:rsid w:val="009D1E12"/>
    <w:rsid w:val="009D1FF1"/>
    <w:rsid w:val="009D2BCD"/>
    <w:rsid w:val="009D33EC"/>
    <w:rsid w:val="009D3EC1"/>
    <w:rsid w:val="009D4A49"/>
    <w:rsid w:val="009D4D99"/>
    <w:rsid w:val="009D56BE"/>
    <w:rsid w:val="009D6216"/>
    <w:rsid w:val="009D678E"/>
    <w:rsid w:val="009D6AB1"/>
    <w:rsid w:val="009D75D4"/>
    <w:rsid w:val="009D7C2B"/>
    <w:rsid w:val="009E0579"/>
    <w:rsid w:val="009E137C"/>
    <w:rsid w:val="009E19F2"/>
    <w:rsid w:val="009E2AC6"/>
    <w:rsid w:val="009E2D6E"/>
    <w:rsid w:val="009E2EB4"/>
    <w:rsid w:val="009E356C"/>
    <w:rsid w:val="009E4188"/>
    <w:rsid w:val="009E5193"/>
    <w:rsid w:val="009E5699"/>
    <w:rsid w:val="009E6B39"/>
    <w:rsid w:val="009E76D9"/>
    <w:rsid w:val="009F1091"/>
    <w:rsid w:val="009F1773"/>
    <w:rsid w:val="009F1D32"/>
    <w:rsid w:val="009F1DEF"/>
    <w:rsid w:val="009F245A"/>
    <w:rsid w:val="009F2AED"/>
    <w:rsid w:val="009F317E"/>
    <w:rsid w:val="009F3458"/>
    <w:rsid w:val="009F34FC"/>
    <w:rsid w:val="009F3993"/>
    <w:rsid w:val="009F3EA9"/>
    <w:rsid w:val="009F4D3C"/>
    <w:rsid w:val="009F55BE"/>
    <w:rsid w:val="009F6607"/>
    <w:rsid w:val="009F6CF3"/>
    <w:rsid w:val="009F6F75"/>
    <w:rsid w:val="009F7280"/>
    <w:rsid w:val="00A00796"/>
    <w:rsid w:val="00A011B3"/>
    <w:rsid w:val="00A012DC"/>
    <w:rsid w:val="00A0156A"/>
    <w:rsid w:val="00A01B44"/>
    <w:rsid w:val="00A01D2D"/>
    <w:rsid w:val="00A022E1"/>
    <w:rsid w:val="00A048CD"/>
    <w:rsid w:val="00A04AE4"/>
    <w:rsid w:val="00A04BBB"/>
    <w:rsid w:val="00A04EDC"/>
    <w:rsid w:val="00A05723"/>
    <w:rsid w:val="00A0593B"/>
    <w:rsid w:val="00A05C18"/>
    <w:rsid w:val="00A05F77"/>
    <w:rsid w:val="00A0699C"/>
    <w:rsid w:val="00A072AA"/>
    <w:rsid w:val="00A07873"/>
    <w:rsid w:val="00A07DA2"/>
    <w:rsid w:val="00A10D3F"/>
    <w:rsid w:val="00A11334"/>
    <w:rsid w:val="00A11EB3"/>
    <w:rsid w:val="00A12049"/>
    <w:rsid w:val="00A12921"/>
    <w:rsid w:val="00A12974"/>
    <w:rsid w:val="00A13178"/>
    <w:rsid w:val="00A1329C"/>
    <w:rsid w:val="00A14569"/>
    <w:rsid w:val="00A14BCB"/>
    <w:rsid w:val="00A15846"/>
    <w:rsid w:val="00A15AA7"/>
    <w:rsid w:val="00A160B5"/>
    <w:rsid w:val="00A1726A"/>
    <w:rsid w:val="00A17DAE"/>
    <w:rsid w:val="00A205D4"/>
    <w:rsid w:val="00A2076E"/>
    <w:rsid w:val="00A20C8D"/>
    <w:rsid w:val="00A20E62"/>
    <w:rsid w:val="00A22022"/>
    <w:rsid w:val="00A22481"/>
    <w:rsid w:val="00A22EA4"/>
    <w:rsid w:val="00A232DF"/>
    <w:rsid w:val="00A2333A"/>
    <w:rsid w:val="00A233A1"/>
    <w:rsid w:val="00A23C23"/>
    <w:rsid w:val="00A23FC2"/>
    <w:rsid w:val="00A24E7C"/>
    <w:rsid w:val="00A256D4"/>
    <w:rsid w:val="00A25924"/>
    <w:rsid w:val="00A25AA2"/>
    <w:rsid w:val="00A26217"/>
    <w:rsid w:val="00A2648C"/>
    <w:rsid w:val="00A26DEE"/>
    <w:rsid w:val="00A27452"/>
    <w:rsid w:val="00A3071F"/>
    <w:rsid w:val="00A31490"/>
    <w:rsid w:val="00A3276A"/>
    <w:rsid w:val="00A32B4E"/>
    <w:rsid w:val="00A3317B"/>
    <w:rsid w:val="00A336BD"/>
    <w:rsid w:val="00A336E5"/>
    <w:rsid w:val="00A33DDC"/>
    <w:rsid w:val="00A34348"/>
    <w:rsid w:val="00A3443A"/>
    <w:rsid w:val="00A376DB"/>
    <w:rsid w:val="00A404BA"/>
    <w:rsid w:val="00A40D5C"/>
    <w:rsid w:val="00A40F57"/>
    <w:rsid w:val="00A416E5"/>
    <w:rsid w:val="00A41A81"/>
    <w:rsid w:val="00A41BF1"/>
    <w:rsid w:val="00A41F3A"/>
    <w:rsid w:val="00A4221E"/>
    <w:rsid w:val="00A43055"/>
    <w:rsid w:val="00A468E9"/>
    <w:rsid w:val="00A4769B"/>
    <w:rsid w:val="00A50048"/>
    <w:rsid w:val="00A50090"/>
    <w:rsid w:val="00A509D9"/>
    <w:rsid w:val="00A50EA1"/>
    <w:rsid w:val="00A51013"/>
    <w:rsid w:val="00A51C10"/>
    <w:rsid w:val="00A51F17"/>
    <w:rsid w:val="00A51FA9"/>
    <w:rsid w:val="00A52533"/>
    <w:rsid w:val="00A52676"/>
    <w:rsid w:val="00A5441C"/>
    <w:rsid w:val="00A54748"/>
    <w:rsid w:val="00A54C10"/>
    <w:rsid w:val="00A550C4"/>
    <w:rsid w:val="00A5690B"/>
    <w:rsid w:val="00A56B94"/>
    <w:rsid w:val="00A56E65"/>
    <w:rsid w:val="00A57B0D"/>
    <w:rsid w:val="00A60A9A"/>
    <w:rsid w:val="00A61830"/>
    <w:rsid w:val="00A61BD7"/>
    <w:rsid w:val="00A623F6"/>
    <w:rsid w:val="00A62FC0"/>
    <w:rsid w:val="00A62FF0"/>
    <w:rsid w:val="00A6319F"/>
    <w:rsid w:val="00A63F4D"/>
    <w:rsid w:val="00A646D7"/>
    <w:rsid w:val="00A64EBA"/>
    <w:rsid w:val="00A659F2"/>
    <w:rsid w:val="00A66A0D"/>
    <w:rsid w:val="00A6721F"/>
    <w:rsid w:val="00A677E7"/>
    <w:rsid w:val="00A70367"/>
    <w:rsid w:val="00A72358"/>
    <w:rsid w:val="00A72D3F"/>
    <w:rsid w:val="00A7349F"/>
    <w:rsid w:val="00A736F7"/>
    <w:rsid w:val="00A74663"/>
    <w:rsid w:val="00A74736"/>
    <w:rsid w:val="00A74793"/>
    <w:rsid w:val="00A74A40"/>
    <w:rsid w:val="00A752F7"/>
    <w:rsid w:val="00A75386"/>
    <w:rsid w:val="00A75652"/>
    <w:rsid w:val="00A7584F"/>
    <w:rsid w:val="00A77D51"/>
    <w:rsid w:val="00A77E57"/>
    <w:rsid w:val="00A77E91"/>
    <w:rsid w:val="00A8020D"/>
    <w:rsid w:val="00A80D37"/>
    <w:rsid w:val="00A821B5"/>
    <w:rsid w:val="00A82E39"/>
    <w:rsid w:val="00A833FD"/>
    <w:rsid w:val="00A83471"/>
    <w:rsid w:val="00A83B8F"/>
    <w:rsid w:val="00A84019"/>
    <w:rsid w:val="00A84498"/>
    <w:rsid w:val="00A845A8"/>
    <w:rsid w:val="00A85C11"/>
    <w:rsid w:val="00A86310"/>
    <w:rsid w:val="00A86E96"/>
    <w:rsid w:val="00A87428"/>
    <w:rsid w:val="00A87C74"/>
    <w:rsid w:val="00A908B6"/>
    <w:rsid w:val="00A90D9A"/>
    <w:rsid w:val="00A91B0E"/>
    <w:rsid w:val="00A926DD"/>
    <w:rsid w:val="00A92719"/>
    <w:rsid w:val="00A934A1"/>
    <w:rsid w:val="00A9395F"/>
    <w:rsid w:val="00A94424"/>
    <w:rsid w:val="00A9532A"/>
    <w:rsid w:val="00A954DA"/>
    <w:rsid w:val="00A95FA5"/>
    <w:rsid w:val="00A96783"/>
    <w:rsid w:val="00A968AD"/>
    <w:rsid w:val="00A96A04"/>
    <w:rsid w:val="00AA0606"/>
    <w:rsid w:val="00AA091C"/>
    <w:rsid w:val="00AA0A83"/>
    <w:rsid w:val="00AA0CED"/>
    <w:rsid w:val="00AA13F7"/>
    <w:rsid w:val="00AA162D"/>
    <w:rsid w:val="00AA1650"/>
    <w:rsid w:val="00AA1767"/>
    <w:rsid w:val="00AA1B99"/>
    <w:rsid w:val="00AA28F1"/>
    <w:rsid w:val="00AA36EB"/>
    <w:rsid w:val="00AA4180"/>
    <w:rsid w:val="00AA4372"/>
    <w:rsid w:val="00AA6C09"/>
    <w:rsid w:val="00AA6C58"/>
    <w:rsid w:val="00AA713F"/>
    <w:rsid w:val="00AA7F11"/>
    <w:rsid w:val="00AB091D"/>
    <w:rsid w:val="00AB1F99"/>
    <w:rsid w:val="00AB332E"/>
    <w:rsid w:val="00AB374A"/>
    <w:rsid w:val="00AB38D6"/>
    <w:rsid w:val="00AB3CC1"/>
    <w:rsid w:val="00AB4031"/>
    <w:rsid w:val="00AB46D9"/>
    <w:rsid w:val="00AB4DEC"/>
    <w:rsid w:val="00AB5674"/>
    <w:rsid w:val="00AB5B9B"/>
    <w:rsid w:val="00AB696D"/>
    <w:rsid w:val="00AB6C23"/>
    <w:rsid w:val="00AB6EF7"/>
    <w:rsid w:val="00AB7265"/>
    <w:rsid w:val="00AB7C9D"/>
    <w:rsid w:val="00AC0569"/>
    <w:rsid w:val="00AC162B"/>
    <w:rsid w:val="00AC1DC1"/>
    <w:rsid w:val="00AC2D8B"/>
    <w:rsid w:val="00AC368A"/>
    <w:rsid w:val="00AC49BA"/>
    <w:rsid w:val="00AC4D29"/>
    <w:rsid w:val="00AC52C7"/>
    <w:rsid w:val="00AC5644"/>
    <w:rsid w:val="00AC5BFD"/>
    <w:rsid w:val="00AC6571"/>
    <w:rsid w:val="00AC66A0"/>
    <w:rsid w:val="00AC6A5B"/>
    <w:rsid w:val="00AC7369"/>
    <w:rsid w:val="00AC7D48"/>
    <w:rsid w:val="00AD0631"/>
    <w:rsid w:val="00AD0EAB"/>
    <w:rsid w:val="00AD0FE5"/>
    <w:rsid w:val="00AD1EB6"/>
    <w:rsid w:val="00AD1F6E"/>
    <w:rsid w:val="00AD2123"/>
    <w:rsid w:val="00AD3D99"/>
    <w:rsid w:val="00AD411C"/>
    <w:rsid w:val="00AD4178"/>
    <w:rsid w:val="00AD4405"/>
    <w:rsid w:val="00AD50C7"/>
    <w:rsid w:val="00AD53F7"/>
    <w:rsid w:val="00AD5B03"/>
    <w:rsid w:val="00AD66D2"/>
    <w:rsid w:val="00AD6D4B"/>
    <w:rsid w:val="00AD7153"/>
    <w:rsid w:val="00AD7800"/>
    <w:rsid w:val="00AD7A04"/>
    <w:rsid w:val="00AD7E7B"/>
    <w:rsid w:val="00AE02FC"/>
    <w:rsid w:val="00AE0867"/>
    <w:rsid w:val="00AE1C3C"/>
    <w:rsid w:val="00AE1CDA"/>
    <w:rsid w:val="00AE2406"/>
    <w:rsid w:val="00AE298E"/>
    <w:rsid w:val="00AE2C04"/>
    <w:rsid w:val="00AE2CDC"/>
    <w:rsid w:val="00AE30E7"/>
    <w:rsid w:val="00AE3B01"/>
    <w:rsid w:val="00AE4067"/>
    <w:rsid w:val="00AE42C5"/>
    <w:rsid w:val="00AE4D58"/>
    <w:rsid w:val="00AE502C"/>
    <w:rsid w:val="00AE5091"/>
    <w:rsid w:val="00AE5323"/>
    <w:rsid w:val="00AE5713"/>
    <w:rsid w:val="00AE6FA6"/>
    <w:rsid w:val="00AE7434"/>
    <w:rsid w:val="00AF0AC5"/>
    <w:rsid w:val="00AF0C02"/>
    <w:rsid w:val="00AF1176"/>
    <w:rsid w:val="00AF2834"/>
    <w:rsid w:val="00AF2D12"/>
    <w:rsid w:val="00AF377C"/>
    <w:rsid w:val="00AF378B"/>
    <w:rsid w:val="00AF4163"/>
    <w:rsid w:val="00AF4B06"/>
    <w:rsid w:val="00AF4C0C"/>
    <w:rsid w:val="00AF5B47"/>
    <w:rsid w:val="00AF5D68"/>
    <w:rsid w:val="00AF5D96"/>
    <w:rsid w:val="00AF68D5"/>
    <w:rsid w:val="00AF72D6"/>
    <w:rsid w:val="00AF758C"/>
    <w:rsid w:val="00AF769F"/>
    <w:rsid w:val="00AF7BBA"/>
    <w:rsid w:val="00AF7C9A"/>
    <w:rsid w:val="00B00221"/>
    <w:rsid w:val="00B00A12"/>
    <w:rsid w:val="00B00A51"/>
    <w:rsid w:val="00B02A27"/>
    <w:rsid w:val="00B02D6F"/>
    <w:rsid w:val="00B02E6A"/>
    <w:rsid w:val="00B04175"/>
    <w:rsid w:val="00B04568"/>
    <w:rsid w:val="00B04572"/>
    <w:rsid w:val="00B04ADA"/>
    <w:rsid w:val="00B06216"/>
    <w:rsid w:val="00B0643A"/>
    <w:rsid w:val="00B06A3F"/>
    <w:rsid w:val="00B070CF"/>
    <w:rsid w:val="00B07863"/>
    <w:rsid w:val="00B100D9"/>
    <w:rsid w:val="00B1011A"/>
    <w:rsid w:val="00B105DE"/>
    <w:rsid w:val="00B11053"/>
    <w:rsid w:val="00B11977"/>
    <w:rsid w:val="00B11E84"/>
    <w:rsid w:val="00B12F06"/>
    <w:rsid w:val="00B12F16"/>
    <w:rsid w:val="00B132D0"/>
    <w:rsid w:val="00B134CC"/>
    <w:rsid w:val="00B1389B"/>
    <w:rsid w:val="00B14C88"/>
    <w:rsid w:val="00B15861"/>
    <w:rsid w:val="00B15C35"/>
    <w:rsid w:val="00B164DA"/>
    <w:rsid w:val="00B16B63"/>
    <w:rsid w:val="00B20373"/>
    <w:rsid w:val="00B214BB"/>
    <w:rsid w:val="00B21A10"/>
    <w:rsid w:val="00B21D75"/>
    <w:rsid w:val="00B21D7D"/>
    <w:rsid w:val="00B22AA5"/>
    <w:rsid w:val="00B247B6"/>
    <w:rsid w:val="00B24CB8"/>
    <w:rsid w:val="00B25361"/>
    <w:rsid w:val="00B2573D"/>
    <w:rsid w:val="00B2697B"/>
    <w:rsid w:val="00B26C72"/>
    <w:rsid w:val="00B27625"/>
    <w:rsid w:val="00B27C7B"/>
    <w:rsid w:val="00B30498"/>
    <w:rsid w:val="00B30B8F"/>
    <w:rsid w:val="00B31A06"/>
    <w:rsid w:val="00B31A53"/>
    <w:rsid w:val="00B320C8"/>
    <w:rsid w:val="00B328DD"/>
    <w:rsid w:val="00B32DF5"/>
    <w:rsid w:val="00B33A20"/>
    <w:rsid w:val="00B34770"/>
    <w:rsid w:val="00B3571D"/>
    <w:rsid w:val="00B35EDF"/>
    <w:rsid w:val="00B36979"/>
    <w:rsid w:val="00B36C5C"/>
    <w:rsid w:val="00B36E55"/>
    <w:rsid w:val="00B37F88"/>
    <w:rsid w:val="00B4029C"/>
    <w:rsid w:val="00B4043A"/>
    <w:rsid w:val="00B41241"/>
    <w:rsid w:val="00B4165A"/>
    <w:rsid w:val="00B41A1D"/>
    <w:rsid w:val="00B42A28"/>
    <w:rsid w:val="00B43630"/>
    <w:rsid w:val="00B43E3F"/>
    <w:rsid w:val="00B440D2"/>
    <w:rsid w:val="00B442AB"/>
    <w:rsid w:val="00B44531"/>
    <w:rsid w:val="00B45313"/>
    <w:rsid w:val="00B45B1A"/>
    <w:rsid w:val="00B45E52"/>
    <w:rsid w:val="00B4620F"/>
    <w:rsid w:val="00B464C0"/>
    <w:rsid w:val="00B473EB"/>
    <w:rsid w:val="00B478BE"/>
    <w:rsid w:val="00B47A06"/>
    <w:rsid w:val="00B47FA7"/>
    <w:rsid w:val="00B5092D"/>
    <w:rsid w:val="00B50E65"/>
    <w:rsid w:val="00B52307"/>
    <w:rsid w:val="00B523BB"/>
    <w:rsid w:val="00B52646"/>
    <w:rsid w:val="00B53021"/>
    <w:rsid w:val="00B5317F"/>
    <w:rsid w:val="00B5357C"/>
    <w:rsid w:val="00B53CF4"/>
    <w:rsid w:val="00B54914"/>
    <w:rsid w:val="00B5538F"/>
    <w:rsid w:val="00B553E4"/>
    <w:rsid w:val="00B55584"/>
    <w:rsid w:val="00B55D63"/>
    <w:rsid w:val="00B568A5"/>
    <w:rsid w:val="00B569A9"/>
    <w:rsid w:val="00B569FE"/>
    <w:rsid w:val="00B56B4C"/>
    <w:rsid w:val="00B56E88"/>
    <w:rsid w:val="00B5703D"/>
    <w:rsid w:val="00B578EF"/>
    <w:rsid w:val="00B579B9"/>
    <w:rsid w:val="00B60003"/>
    <w:rsid w:val="00B60793"/>
    <w:rsid w:val="00B621E6"/>
    <w:rsid w:val="00B6257E"/>
    <w:rsid w:val="00B63791"/>
    <w:rsid w:val="00B64207"/>
    <w:rsid w:val="00B64C8C"/>
    <w:rsid w:val="00B64D63"/>
    <w:rsid w:val="00B6560D"/>
    <w:rsid w:val="00B65AAE"/>
    <w:rsid w:val="00B65C49"/>
    <w:rsid w:val="00B65D06"/>
    <w:rsid w:val="00B66968"/>
    <w:rsid w:val="00B66995"/>
    <w:rsid w:val="00B702C8"/>
    <w:rsid w:val="00B70587"/>
    <w:rsid w:val="00B715C5"/>
    <w:rsid w:val="00B72B37"/>
    <w:rsid w:val="00B72E03"/>
    <w:rsid w:val="00B72E7D"/>
    <w:rsid w:val="00B7377B"/>
    <w:rsid w:val="00B73B92"/>
    <w:rsid w:val="00B74AB7"/>
    <w:rsid w:val="00B74D58"/>
    <w:rsid w:val="00B753F9"/>
    <w:rsid w:val="00B7579C"/>
    <w:rsid w:val="00B758E5"/>
    <w:rsid w:val="00B75979"/>
    <w:rsid w:val="00B75B8B"/>
    <w:rsid w:val="00B75FA8"/>
    <w:rsid w:val="00B76FB4"/>
    <w:rsid w:val="00B777F5"/>
    <w:rsid w:val="00B800BF"/>
    <w:rsid w:val="00B8259A"/>
    <w:rsid w:val="00B82B15"/>
    <w:rsid w:val="00B82B4F"/>
    <w:rsid w:val="00B831F6"/>
    <w:rsid w:val="00B839BE"/>
    <w:rsid w:val="00B84182"/>
    <w:rsid w:val="00B84F0B"/>
    <w:rsid w:val="00B85665"/>
    <w:rsid w:val="00B85848"/>
    <w:rsid w:val="00B871C0"/>
    <w:rsid w:val="00B874B8"/>
    <w:rsid w:val="00B87F2C"/>
    <w:rsid w:val="00B90B3B"/>
    <w:rsid w:val="00B90C97"/>
    <w:rsid w:val="00B9118F"/>
    <w:rsid w:val="00B91EF2"/>
    <w:rsid w:val="00B92178"/>
    <w:rsid w:val="00B93D83"/>
    <w:rsid w:val="00B9461B"/>
    <w:rsid w:val="00B94C11"/>
    <w:rsid w:val="00B94CE1"/>
    <w:rsid w:val="00B94D7E"/>
    <w:rsid w:val="00B95D1C"/>
    <w:rsid w:val="00BA01C1"/>
    <w:rsid w:val="00BA049F"/>
    <w:rsid w:val="00BA0F04"/>
    <w:rsid w:val="00BA12F2"/>
    <w:rsid w:val="00BA1712"/>
    <w:rsid w:val="00BA1CE4"/>
    <w:rsid w:val="00BA26F7"/>
    <w:rsid w:val="00BA2F77"/>
    <w:rsid w:val="00BA304F"/>
    <w:rsid w:val="00BA323A"/>
    <w:rsid w:val="00BA35DD"/>
    <w:rsid w:val="00BA4505"/>
    <w:rsid w:val="00BA6417"/>
    <w:rsid w:val="00BA7205"/>
    <w:rsid w:val="00BA7747"/>
    <w:rsid w:val="00BB02FC"/>
    <w:rsid w:val="00BB08C8"/>
    <w:rsid w:val="00BB12D3"/>
    <w:rsid w:val="00BB1652"/>
    <w:rsid w:val="00BB1941"/>
    <w:rsid w:val="00BB211C"/>
    <w:rsid w:val="00BB28B7"/>
    <w:rsid w:val="00BB377B"/>
    <w:rsid w:val="00BB37F9"/>
    <w:rsid w:val="00BB5089"/>
    <w:rsid w:val="00BB59E1"/>
    <w:rsid w:val="00BC046F"/>
    <w:rsid w:val="00BC0B51"/>
    <w:rsid w:val="00BC0EC5"/>
    <w:rsid w:val="00BC10E8"/>
    <w:rsid w:val="00BC1688"/>
    <w:rsid w:val="00BC2622"/>
    <w:rsid w:val="00BC2961"/>
    <w:rsid w:val="00BC3E46"/>
    <w:rsid w:val="00BC46C1"/>
    <w:rsid w:val="00BC4FA5"/>
    <w:rsid w:val="00BC5D9B"/>
    <w:rsid w:val="00BC6A90"/>
    <w:rsid w:val="00BC6E79"/>
    <w:rsid w:val="00BC71F8"/>
    <w:rsid w:val="00BC737B"/>
    <w:rsid w:val="00BC739D"/>
    <w:rsid w:val="00BD06E9"/>
    <w:rsid w:val="00BD0F30"/>
    <w:rsid w:val="00BD3AC7"/>
    <w:rsid w:val="00BD4214"/>
    <w:rsid w:val="00BD475A"/>
    <w:rsid w:val="00BD4CE5"/>
    <w:rsid w:val="00BD508A"/>
    <w:rsid w:val="00BD56F6"/>
    <w:rsid w:val="00BD5757"/>
    <w:rsid w:val="00BD58F4"/>
    <w:rsid w:val="00BD5D1F"/>
    <w:rsid w:val="00BD5EEA"/>
    <w:rsid w:val="00BD61D9"/>
    <w:rsid w:val="00BD6748"/>
    <w:rsid w:val="00BD7605"/>
    <w:rsid w:val="00BD7A8E"/>
    <w:rsid w:val="00BD7B56"/>
    <w:rsid w:val="00BE0674"/>
    <w:rsid w:val="00BE0B68"/>
    <w:rsid w:val="00BE11A8"/>
    <w:rsid w:val="00BE11D7"/>
    <w:rsid w:val="00BE1808"/>
    <w:rsid w:val="00BE1904"/>
    <w:rsid w:val="00BE1C0B"/>
    <w:rsid w:val="00BE26C0"/>
    <w:rsid w:val="00BE2943"/>
    <w:rsid w:val="00BE2CE1"/>
    <w:rsid w:val="00BE391A"/>
    <w:rsid w:val="00BE3D38"/>
    <w:rsid w:val="00BE40C7"/>
    <w:rsid w:val="00BE47FA"/>
    <w:rsid w:val="00BE49CD"/>
    <w:rsid w:val="00BE4F5E"/>
    <w:rsid w:val="00BE526D"/>
    <w:rsid w:val="00BE5DBD"/>
    <w:rsid w:val="00BE5FE0"/>
    <w:rsid w:val="00BE64DE"/>
    <w:rsid w:val="00BE6660"/>
    <w:rsid w:val="00BE6791"/>
    <w:rsid w:val="00BE6AF2"/>
    <w:rsid w:val="00BE7034"/>
    <w:rsid w:val="00BE72CE"/>
    <w:rsid w:val="00BE7314"/>
    <w:rsid w:val="00BE7C6B"/>
    <w:rsid w:val="00BE7FEB"/>
    <w:rsid w:val="00BF0DE0"/>
    <w:rsid w:val="00BF1244"/>
    <w:rsid w:val="00BF2A1F"/>
    <w:rsid w:val="00BF2D2E"/>
    <w:rsid w:val="00BF3173"/>
    <w:rsid w:val="00BF3674"/>
    <w:rsid w:val="00BF3CE5"/>
    <w:rsid w:val="00BF5CE9"/>
    <w:rsid w:val="00BF5E72"/>
    <w:rsid w:val="00BF6220"/>
    <w:rsid w:val="00BF7473"/>
    <w:rsid w:val="00BF75F7"/>
    <w:rsid w:val="00BF7B47"/>
    <w:rsid w:val="00BF7D75"/>
    <w:rsid w:val="00BF7D7A"/>
    <w:rsid w:val="00BF7E84"/>
    <w:rsid w:val="00C006D2"/>
    <w:rsid w:val="00C00795"/>
    <w:rsid w:val="00C00CED"/>
    <w:rsid w:val="00C00F77"/>
    <w:rsid w:val="00C0127E"/>
    <w:rsid w:val="00C01383"/>
    <w:rsid w:val="00C01479"/>
    <w:rsid w:val="00C01947"/>
    <w:rsid w:val="00C01F71"/>
    <w:rsid w:val="00C020EB"/>
    <w:rsid w:val="00C0232F"/>
    <w:rsid w:val="00C02A42"/>
    <w:rsid w:val="00C02EE6"/>
    <w:rsid w:val="00C03125"/>
    <w:rsid w:val="00C03601"/>
    <w:rsid w:val="00C039C5"/>
    <w:rsid w:val="00C03A22"/>
    <w:rsid w:val="00C03A54"/>
    <w:rsid w:val="00C0413B"/>
    <w:rsid w:val="00C05519"/>
    <w:rsid w:val="00C05D64"/>
    <w:rsid w:val="00C075FA"/>
    <w:rsid w:val="00C078A4"/>
    <w:rsid w:val="00C07F5F"/>
    <w:rsid w:val="00C11148"/>
    <w:rsid w:val="00C11258"/>
    <w:rsid w:val="00C123BB"/>
    <w:rsid w:val="00C14433"/>
    <w:rsid w:val="00C144C5"/>
    <w:rsid w:val="00C150A7"/>
    <w:rsid w:val="00C15D7D"/>
    <w:rsid w:val="00C15F91"/>
    <w:rsid w:val="00C15FA9"/>
    <w:rsid w:val="00C165D5"/>
    <w:rsid w:val="00C1662B"/>
    <w:rsid w:val="00C1666E"/>
    <w:rsid w:val="00C166E3"/>
    <w:rsid w:val="00C171F1"/>
    <w:rsid w:val="00C17F44"/>
    <w:rsid w:val="00C210CB"/>
    <w:rsid w:val="00C21507"/>
    <w:rsid w:val="00C21841"/>
    <w:rsid w:val="00C22034"/>
    <w:rsid w:val="00C223E4"/>
    <w:rsid w:val="00C22683"/>
    <w:rsid w:val="00C22FFD"/>
    <w:rsid w:val="00C2341F"/>
    <w:rsid w:val="00C2372A"/>
    <w:rsid w:val="00C23E8B"/>
    <w:rsid w:val="00C252F2"/>
    <w:rsid w:val="00C25D96"/>
    <w:rsid w:val="00C25F3D"/>
    <w:rsid w:val="00C2660C"/>
    <w:rsid w:val="00C30377"/>
    <w:rsid w:val="00C307FD"/>
    <w:rsid w:val="00C309BE"/>
    <w:rsid w:val="00C30A6F"/>
    <w:rsid w:val="00C30C59"/>
    <w:rsid w:val="00C30D35"/>
    <w:rsid w:val="00C3113E"/>
    <w:rsid w:val="00C315B4"/>
    <w:rsid w:val="00C31703"/>
    <w:rsid w:val="00C326B2"/>
    <w:rsid w:val="00C32D98"/>
    <w:rsid w:val="00C32F0D"/>
    <w:rsid w:val="00C346D5"/>
    <w:rsid w:val="00C346D9"/>
    <w:rsid w:val="00C34B02"/>
    <w:rsid w:val="00C34BA6"/>
    <w:rsid w:val="00C34D1E"/>
    <w:rsid w:val="00C34D64"/>
    <w:rsid w:val="00C35236"/>
    <w:rsid w:val="00C35609"/>
    <w:rsid w:val="00C35BE1"/>
    <w:rsid w:val="00C363B3"/>
    <w:rsid w:val="00C36E66"/>
    <w:rsid w:val="00C375B7"/>
    <w:rsid w:val="00C4020A"/>
    <w:rsid w:val="00C40CA1"/>
    <w:rsid w:val="00C417B1"/>
    <w:rsid w:val="00C41C02"/>
    <w:rsid w:val="00C421D7"/>
    <w:rsid w:val="00C42272"/>
    <w:rsid w:val="00C423B2"/>
    <w:rsid w:val="00C42C56"/>
    <w:rsid w:val="00C43955"/>
    <w:rsid w:val="00C43AC2"/>
    <w:rsid w:val="00C43EC2"/>
    <w:rsid w:val="00C44209"/>
    <w:rsid w:val="00C449D8"/>
    <w:rsid w:val="00C4556A"/>
    <w:rsid w:val="00C45BE5"/>
    <w:rsid w:val="00C466C2"/>
    <w:rsid w:val="00C46DD7"/>
    <w:rsid w:val="00C46FEE"/>
    <w:rsid w:val="00C471BE"/>
    <w:rsid w:val="00C47823"/>
    <w:rsid w:val="00C47826"/>
    <w:rsid w:val="00C47B75"/>
    <w:rsid w:val="00C504A4"/>
    <w:rsid w:val="00C526B4"/>
    <w:rsid w:val="00C528B3"/>
    <w:rsid w:val="00C52B42"/>
    <w:rsid w:val="00C550F8"/>
    <w:rsid w:val="00C5522A"/>
    <w:rsid w:val="00C55B0B"/>
    <w:rsid w:val="00C55B91"/>
    <w:rsid w:val="00C5716D"/>
    <w:rsid w:val="00C57649"/>
    <w:rsid w:val="00C57D5B"/>
    <w:rsid w:val="00C601FF"/>
    <w:rsid w:val="00C6051D"/>
    <w:rsid w:val="00C61134"/>
    <w:rsid w:val="00C61320"/>
    <w:rsid w:val="00C6162D"/>
    <w:rsid w:val="00C61749"/>
    <w:rsid w:val="00C6198A"/>
    <w:rsid w:val="00C61A94"/>
    <w:rsid w:val="00C61C5B"/>
    <w:rsid w:val="00C61E75"/>
    <w:rsid w:val="00C623EA"/>
    <w:rsid w:val="00C62603"/>
    <w:rsid w:val="00C62B8C"/>
    <w:rsid w:val="00C637FA"/>
    <w:rsid w:val="00C64352"/>
    <w:rsid w:val="00C6481E"/>
    <w:rsid w:val="00C649CE"/>
    <w:rsid w:val="00C656E5"/>
    <w:rsid w:val="00C65823"/>
    <w:rsid w:val="00C65F64"/>
    <w:rsid w:val="00C70063"/>
    <w:rsid w:val="00C70BE0"/>
    <w:rsid w:val="00C71CFB"/>
    <w:rsid w:val="00C72B55"/>
    <w:rsid w:val="00C72CFB"/>
    <w:rsid w:val="00C7358C"/>
    <w:rsid w:val="00C74F61"/>
    <w:rsid w:val="00C75B05"/>
    <w:rsid w:val="00C769CE"/>
    <w:rsid w:val="00C76FFF"/>
    <w:rsid w:val="00C77799"/>
    <w:rsid w:val="00C777E2"/>
    <w:rsid w:val="00C77C4B"/>
    <w:rsid w:val="00C77D63"/>
    <w:rsid w:val="00C8053A"/>
    <w:rsid w:val="00C81139"/>
    <w:rsid w:val="00C81496"/>
    <w:rsid w:val="00C830BA"/>
    <w:rsid w:val="00C83292"/>
    <w:rsid w:val="00C83588"/>
    <w:rsid w:val="00C84175"/>
    <w:rsid w:val="00C841EA"/>
    <w:rsid w:val="00C847CA"/>
    <w:rsid w:val="00C84A08"/>
    <w:rsid w:val="00C84C89"/>
    <w:rsid w:val="00C84D48"/>
    <w:rsid w:val="00C84E3B"/>
    <w:rsid w:val="00C85359"/>
    <w:rsid w:val="00C8546E"/>
    <w:rsid w:val="00C8564C"/>
    <w:rsid w:val="00C866B3"/>
    <w:rsid w:val="00C87173"/>
    <w:rsid w:val="00C87E69"/>
    <w:rsid w:val="00C90A5C"/>
    <w:rsid w:val="00C91783"/>
    <w:rsid w:val="00C91CC1"/>
    <w:rsid w:val="00C92479"/>
    <w:rsid w:val="00C924EB"/>
    <w:rsid w:val="00C92E6F"/>
    <w:rsid w:val="00C9346D"/>
    <w:rsid w:val="00C936CA"/>
    <w:rsid w:val="00C947F0"/>
    <w:rsid w:val="00C94B7F"/>
    <w:rsid w:val="00C95BB4"/>
    <w:rsid w:val="00C96526"/>
    <w:rsid w:val="00C96AC7"/>
    <w:rsid w:val="00C96D30"/>
    <w:rsid w:val="00C976A0"/>
    <w:rsid w:val="00CA049F"/>
    <w:rsid w:val="00CA1E36"/>
    <w:rsid w:val="00CA2373"/>
    <w:rsid w:val="00CA2B75"/>
    <w:rsid w:val="00CA3088"/>
    <w:rsid w:val="00CA3272"/>
    <w:rsid w:val="00CA337E"/>
    <w:rsid w:val="00CA39EB"/>
    <w:rsid w:val="00CA458D"/>
    <w:rsid w:val="00CA45BC"/>
    <w:rsid w:val="00CA61CC"/>
    <w:rsid w:val="00CA68AC"/>
    <w:rsid w:val="00CA7C62"/>
    <w:rsid w:val="00CB0479"/>
    <w:rsid w:val="00CB083E"/>
    <w:rsid w:val="00CB0A45"/>
    <w:rsid w:val="00CB16BE"/>
    <w:rsid w:val="00CB1A88"/>
    <w:rsid w:val="00CB38DC"/>
    <w:rsid w:val="00CB3F4E"/>
    <w:rsid w:val="00CB428B"/>
    <w:rsid w:val="00CB435D"/>
    <w:rsid w:val="00CB5182"/>
    <w:rsid w:val="00CB5962"/>
    <w:rsid w:val="00CB606F"/>
    <w:rsid w:val="00CB629C"/>
    <w:rsid w:val="00CB65DE"/>
    <w:rsid w:val="00CB68F1"/>
    <w:rsid w:val="00CB7464"/>
    <w:rsid w:val="00CB7ABE"/>
    <w:rsid w:val="00CC01C3"/>
    <w:rsid w:val="00CC0922"/>
    <w:rsid w:val="00CC0AB0"/>
    <w:rsid w:val="00CC0B3D"/>
    <w:rsid w:val="00CC0F37"/>
    <w:rsid w:val="00CC183C"/>
    <w:rsid w:val="00CC202E"/>
    <w:rsid w:val="00CC23C3"/>
    <w:rsid w:val="00CC248D"/>
    <w:rsid w:val="00CC2541"/>
    <w:rsid w:val="00CC2F2D"/>
    <w:rsid w:val="00CC347D"/>
    <w:rsid w:val="00CC3780"/>
    <w:rsid w:val="00CC4F52"/>
    <w:rsid w:val="00CC530A"/>
    <w:rsid w:val="00CC57A9"/>
    <w:rsid w:val="00CC581C"/>
    <w:rsid w:val="00CC59ED"/>
    <w:rsid w:val="00CC5FCB"/>
    <w:rsid w:val="00CC651F"/>
    <w:rsid w:val="00CC671E"/>
    <w:rsid w:val="00CC6CD9"/>
    <w:rsid w:val="00CD0A64"/>
    <w:rsid w:val="00CD10AE"/>
    <w:rsid w:val="00CD2491"/>
    <w:rsid w:val="00CD2F0E"/>
    <w:rsid w:val="00CD32D4"/>
    <w:rsid w:val="00CD3331"/>
    <w:rsid w:val="00CD3CF9"/>
    <w:rsid w:val="00CD4243"/>
    <w:rsid w:val="00CD4619"/>
    <w:rsid w:val="00CD54DF"/>
    <w:rsid w:val="00CD6EE2"/>
    <w:rsid w:val="00CD73D0"/>
    <w:rsid w:val="00CD7D69"/>
    <w:rsid w:val="00CE0035"/>
    <w:rsid w:val="00CE034C"/>
    <w:rsid w:val="00CE09E5"/>
    <w:rsid w:val="00CE10C8"/>
    <w:rsid w:val="00CE124F"/>
    <w:rsid w:val="00CE1659"/>
    <w:rsid w:val="00CE26F2"/>
    <w:rsid w:val="00CE27BD"/>
    <w:rsid w:val="00CE2926"/>
    <w:rsid w:val="00CE2FE9"/>
    <w:rsid w:val="00CE3A5E"/>
    <w:rsid w:val="00CE3A75"/>
    <w:rsid w:val="00CE3DFA"/>
    <w:rsid w:val="00CE4036"/>
    <w:rsid w:val="00CE4AEA"/>
    <w:rsid w:val="00CE4E38"/>
    <w:rsid w:val="00CE64D9"/>
    <w:rsid w:val="00CE65D9"/>
    <w:rsid w:val="00CE70B3"/>
    <w:rsid w:val="00CE721D"/>
    <w:rsid w:val="00CE7606"/>
    <w:rsid w:val="00CE7E2F"/>
    <w:rsid w:val="00CF0050"/>
    <w:rsid w:val="00CF03B0"/>
    <w:rsid w:val="00CF1D9F"/>
    <w:rsid w:val="00CF2F55"/>
    <w:rsid w:val="00CF318C"/>
    <w:rsid w:val="00CF34BB"/>
    <w:rsid w:val="00CF3EF4"/>
    <w:rsid w:val="00CF43F1"/>
    <w:rsid w:val="00CF59AA"/>
    <w:rsid w:val="00CF6683"/>
    <w:rsid w:val="00CF669A"/>
    <w:rsid w:val="00CF690D"/>
    <w:rsid w:val="00CF6BD0"/>
    <w:rsid w:val="00CF7541"/>
    <w:rsid w:val="00CF76AD"/>
    <w:rsid w:val="00CF77A0"/>
    <w:rsid w:val="00CF7B69"/>
    <w:rsid w:val="00D0006B"/>
    <w:rsid w:val="00D006EE"/>
    <w:rsid w:val="00D019EE"/>
    <w:rsid w:val="00D01A94"/>
    <w:rsid w:val="00D021A5"/>
    <w:rsid w:val="00D02600"/>
    <w:rsid w:val="00D0270A"/>
    <w:rsid w:val="00D02AC9"/>
    <w:rsid w:val="00D02B18"/>
    <w:rsid w:val="00D02DCD"/>
    <w:rsid w:val="00D034DA"/>
    <w:rsid w:val="00D03961"/>
    <w:rsid w:val="00D043CD"/>
    <w:rsid w:val="00D043DC"/>
    <w:rsid w:val="00D04AA5"/>
    <w:rsid w:val="00D05C3F"/>
    <w:rsid w:val="00D05C5E"/>
    <w:rsid w:val="00D05C99"/>
    <w:rsid w:val="00D06EBC"/>
    <w:rsid w:val="00D070F4"/>
    <w:rsid w:val="00D07AC2"/>
    <w:rsid w:val="00D1024B"/>
    <w:rsid w:val="00D109B3"/>
    <w:rsid w:val="00D11B7D"/>
    <w:rsid w:val="00D11DB7"/>
    <w:rsid w:val="00D12597"/>
    <w:rsid w:val="00D12665"/>
    <w:rsid w:val="00D1273D"/>
    <w:rsid w:val="00D140DB"/>
    <w:rsid w:val="00D15A07"/>
    <w:rsid w:val="00D15CB4"/>
    <w:rsid w:val="00D15D80"/>
    <w:rsid w:val="00D15F51"/>
    <w:rsid w:val="00D1641B"/>
    <w:rsid w:val="00D16A60"/>
    <w:rsid w:val="00D17442"/>
    <w:rsid w:val="00D20C3B"/>
    <w:rsid w:val="00D20D19"/>
    <w:rsid w:val="00D215A7"/>
    <w:rsid w:val="00D21908"/>
    <w:rsid w:val="00D21D43"/>
    <w:rsid w:val="00D2229D"/>
    <w:rsid w:val="00D2281D"/>
    <w:rsid w:val="00D22A1F"/>
    <w:rsid w:val="00D22D95"/>
    <w:rsid w:val="00D22EE4"/>
    <w:rsid w:val="00D234B6"/>
    <w:rsid w:val="00D2429B"/>
    <w:rsid w:val="00D24F03"/>
    <w:rsid w:val="00D254CF"/>
    <w:rsid w:val="00D25880"/>
    <w:rsid w:val="00D25C65"/>
    <w:rsid w:val="00D25D5B"/>
    <w:rsid w:val="00D2625E"/>
    <w:rsid w:val="00D2674F"/>
    <w:rsid w:val="00D303A1"/>
    <w:rsid w:val="00D304A4"/>
    <w:rsid w:val="00D30605"/>
    <w:rsid w:val="00D318BB"/>
    <w:rsid w:val="00D3242E"/>
    <w:rsid w:val="00D32920"/>
    <w:rsid w:val="00D32A7E"/>
    <w:rsid w:val="00D32DDB"/>
    <w:rsid w:val="00D3355B"/>
    <w:rsid w:val="00D33D7B"/>
    <w:rsid w:val="00D33D89"/>
    <w:rsid w:val="00D35649"/>
    <w:rsid w:val="00D35EE7"/>
    <w:rsid w:val="00D3627D"/>
    <w:rsid w:val="00D369C2"/>
    <w:rsid w:val="00D379BA"/>
    <w:rsid w:val="00D37DA9"/>
    <w:rsid w:val="00D408DA"/>
    <w:rsid w:val="00D40B7A"/>
    <w:rsid w:val="00D4156B"/>
    <w:rsid w:val="00D41ACE"/>
    <w:rsid w:val="00D41AF0"/>
    <w:rsid w:val="00D41DE9"/>
    <w:rsid w:val="00D420B0"/>
    <w:rsid w:val="00D42FC3"/>
    <w:rsid w:val="00D43B70"/>
    <w:rsid w:val="00D4488D"/>
    <w:rsid w:val="00D4538D"/>
    <w:rsid w:val="00D454C9"/>
    <w:rsid w:val="00D46159"/>
    <w:rsid w:val="00D46BAA"/>
    <w:rsid w:val="00D47FBC"/>
    <w:rsid w:val="00D47FE4"/>
    <w:rsid w:val="00D504BB"/>
    <w:rsid w:val="00D509C9"/>
    <w:rsid w:val="00D50E3E"/>
    <w:rsid w:val="00D51A96"/>
    <w:rsid w:val="00D52628"/>
    <w:rsid w:val="00D52BA5"/>
    <w:rsid w:val="00D52D37"/>
    <w:rsid w:val="00D534CA"/>
    <w:rsid w:val="00D54813"/>
    <w:rsid w:val="00D5499E"/>
    <w:rsid w:val="00D5579C"/>
    <w:rsid w:val="00D56DA3"/>
    <w:rsid w:val="00D57343"/>
    <w:rsid w:val="00D57664"/>
    <w:rsid w:val="00D5772D"/>
    <w:rsid w:val="00D57730"/>
    <w:rsid w:val="00D614D9"/>
    <w:rsid w:val="00D62017"/>
    <w:rsid w:val="00D62C2F"/>
    <w:rsid w:val="00D632F8"/>
    <w:rsid w:val="00D6338D"/>
    <w:rsid w:val="00D639F4"/>
    <w:rsid w:val="00D6404C"/>
    <w:rsid w:val="00D64193"/>
    <w:rsid w:val="00D644D0"/>
    <w:rsid w:val="00D6484A"/>
    <w:rsid w:val="00D649A7"/>
    <w:rsid w:val="00D64D29"/>
    <w:rsid w:val="00D6597C"/>
    <w:rsid w:val="00D6614B"/>
    <w:rsid w:val="00D66852"/>
    <w:rsid w:val="00D6745B"/>
    <w:rsid w:val="00D67C02"/>
    <w:rsid w:val="00D67EFA"/>
    <w:rsid w:val="00D67F9F"/>
    <w:rsid w:val="00D70694"/>
    <w:rsid w:val="00D70BED"/>
    <w:rsid w:val="00D70EBA"/>
    <w:rsid w:val="00D720FB"/>
    <w:rsid w:val="00D72634"/>
    <w:rsid w:val="00D72FA0"/>
    <w:rsid w:val="00D734D9"/>
    <w:rsid w:val="00D734EF"/>
    <w:rsid w:val="00D73537"/>
    <w:rsid w:val="00D7356B"/>
    <w:rsid w:val="00D75436"/>
    <w:rsid w:val="00D7559B"/>
    <w:rsid w:val="00D75E20"/>
    <w:rsid w:val="00D76029"/>
    <w:rsid w:val="00D7631A"/>
    <w:rsid w:val="00D76D8E"/>
    <w:rsid w:val="00D773D3"/>
    <w:rsid w:val="00D775E6"/>
    <w:rsid w:val="00D775FC"/>
    <w:rsid w:val="00D77E7E"/>
    <w:rsid w:val="00D80474"/>
    <w:rsid w:val="00D80758"/>
    <w:rsid w:val="00D80933"/>
    <w:rsid w:val="00D80E38"/>
    <w:rsid w:val="00D82769"/>
    <w:rsid w:val="00D8312B"/>
    <w:rsid w:val="00D84312"/>
    <w:rsid w:val="00D846E8"/>
    <w:rsid w:val="00D8502F"/>
    <w:rsid w:val="00D853C4"/>
    <w:rsid w:val="00D85646"/>
    <w:rsid w:val="00D860A7"/>
    <w:rsid w:val="00D861E8"/>
    <w:rsid w:val="00D86450"/>
    <w:rsid w:val="00D86E28"/>
    <w:rsid w:val="00D87ACF"/>
    <w:rsid w:val="00D87E2B"/>
    <w:rsid w:val="00D90AAA"/>
    <w:rsid w:val="00D90FBD"/>
    <w:rsid w:val="00D9109D"/>
    <w:rsid w:val="00D91870"/>
    <w:rsid w:val="00D9271B"/>
    <w:rsid w:val="00D96104"/>
    <w:rsid w:val="00D961A5"/>
    <w:rsid w:val="00D965EB"/>
    <w:rsid w:val="00D970DC"/>
    <w:rsid w:val="00D971D3"/>
    <w:rsid w:val="00D97A4D"/>
    <w:rsid w:val="00DA000F"/>
    <w:rsid w:val="00DA0739"/>
    <w:rsid w:val="00DA0BE7"/>
    <w:rsid w:val="00DA11D4"/>
    <w:rsid w:val="00DA2024"/>
    <w:rsid w:val="00DA2153"/>
    <w:rsid w:val="00DA276D"/>
    <w:rsid w:val="00DA27BF"/>
    <w:rsid w:val="00DA2E63"/>
    <w:rsid w:val="00DA341C"/>
    <w:rsid w:val="00DA427E"/>
    <w:rsid w:val="00DA4300"/>
    <w:rsid w:val="00DA43E4"/>
    <w:rsid w:val="00DA46EE"/>
    <w:rsid w:val="00DA4CD1"/>
    <w:rsid w:val="00DA5773"/>
    <w:rsid w:val="00DA57B5"/>
    <w:rsid w:val="00DA61BF"/>
    <w:rsid w:val="00DB0868"/>
    <w:rsid w:val="00DB2877"/>
    <w:rsid w:val="00DB2FC1"/>
    <w:rsid w:val="00DB3035"/>
    <w:rsid w:val="00DB3A87"/>
    <w:rsid w:val="00DB4EB5"/>
    <w:rsid w:val="00DB56FE"/>
    <w:rsid w:val="00DB58B0"/>
    <w:rsid w:val="00DB5B57"/>
    <w:rsid w:val="00DB5CB8"/>
    <w:rsid w:val="00DB5CD2"/>
    <w:rsid w:val="00DB6354"/>
    <w:rsid w:val="00DB665A"/>
    <w:rsid w:val="00DB6FF5"/>
    <w:rsid w:val="00DB7037"/>
    <w:rsid w:val="00DB7310"/>
    <w:rsid w:val="00DB7C82"/>
    <w:rsid w:val="00DC0559"/>
    <w:rsid w:val="00DC1077"/>
    <w:rsid w:val="00DC13F0"/>
    <w:rsid w:val="00DC14E7"/>
    <w:rsid w:val="00DC16F8"/>
    <w:rsid w:val="00DC1B36"/>
    <w:rsid w:val="00DC1C18"/>
    <w:rsid w:val="00DC2E85"/>
    <w:rsid w:val="00DC31E2"/>
    <w:rsid w:val="00DC31ED"/>
    <w:rsid w:val="00DC36EE"/>
    <w:rsid w:val="00DC3827"/>
    <w:rsid w:val="00DC39EB"/>
    <w:rsid w:val="00DC4029"/>
    <w:rsid w:val="00DC41A7"/>
    <w:rsid w:val="00DC45AF"/>
    <w:rsid w:val="00DC4660"/>
    <w:rsid w:val="00DC4780"/>
    <w:rsid w:val="00DC54DA"/>
    <w:rsid w:val="00DC6AB7"/>
    <w:rsid w:val="00DD02D5"/>
    <w:rsid w:val="00DD1701"/>
    <w:rsid w:val="00DD2CF6"/>
    <w:rsid w:val="00DD6111"/>
    <w:rsid w:val="00DD6C8A"/>
    <w:rsid w:val="00DD7B73"/>
    <w:rsid w:val="00DD7FBA"/>
    <w:rsid w:val="00DE0E57"/>
    <w:rsid w:val="00DE118F"/>
    <w:rsid w:val="00DE160F"/>
    <w:rsid w:val="00DE2116"/>
    <w:rsid w:val="00DE298F"/>
    <w:rsid w:val="00DE330A"/>
    <w:rsid w:val="00DE3E71"/>
    <w:rsid w:val="00DE481F"/>
    <w:rsid w:val="00DE50CE"/>
    <w:rsid w:val="00DE5267"/>
    <w:rsid w:val="00DE5C63"/>
    <w:rsid w:val="00DE5E82"/>
    <w:rsid w:val="00DE5F2A"/>
    <w:rsid w:val="00DE618B"/>
    <w:rsid w:val="00DE64B7"/>
    <w:rsid w:val="00DE67D7"/>
    <w:rsid w:val="00DE7232"/>
    <w:rsid w:val="00DE7716"/>
    <w:rsid w:val="00DF045E"/>
    <w:rsid w:val="00DF0489"/>
    <w:rsid w:val="00DF0F88"/>
    <w:rsid w:val="00DF135E"/>
    <w:rsid w:val="00DF18D6"/>
    <w:rsid w:val="00DF1C16"/>
    <w:rsid w:val="00DF320F"/>
    <w:rsid w:val="00DF4F81"/>
    <w:rsid w:val="00DF596A"/>
    <w:rsid w:val="00DF5AF1"/>
    <w:rsid w:val="00DF6745"/>
    <w:rsid w:val="00DF73CA"/>
    <w:rsid w:val="00DF7DA0"/>
    <w:rsid w:val="00E00158"/>
    <w:rsid w:val="00E01117"/>
    <w:rsid w:val="00E0138A"/>
    <w:rsid w:val="00E02021"/>
    <w:rsid w:val="00E0212E"/>
    <w:rsid w:val="00E030A6"/>
    <w:rsid w:val="00E0378C"/>
    <w:rsid w:val="00E05013"/>
    <w:rsid w:val="00E050FB"/>
    <w:rsid w:val="00E0576A"/>
    <w:rsid w:val="00E070C5"/>
    <w:rsid w:val="00E07467"/>
    <w:rsid w:val="00E0756A"/>
    <w:rsid w:val="00E0791B"/>
    <w:rsid w:val="00E108E7"/>
    <w:rsid w:val="00E11804"/>
    <w:rsid w:val="00E11A24"/>
    <w:rsid w:val="00E12D39"/>
    <w:rsid w:val="00E12F90"/>
    <w:rsid w:val="00E137EF"/>
    <w:rsid w:val="00E13F04"/>
    <w:rsid w:val="00E1436A"/>
    <w:rsid w:val="00E14C45"/>
    <w:rsid w:val="00E14D07"/>
    <w:rsid w:val="00E14EB9"/>
    <w:rsid w:val="00E15231"/>
    <w:rsid w:val="00E154D9"/>
    <w:rsid w:val="00E16349"/>
    <w:rsid w:val="00E1673B"/>
    <w:rsid w:val="00E1687C"/>
    <w:rsid w:val="00E16971"/>
    <w:rsid w:val="00E16A3F"/>
    <w:rsid w:val="00E16C95"/>
    <w:rsid w:val="00E209DD"/>
    <w:rsid w:val="00E20CF1"/>
    <w:rsid w:val="00E212B1"/>
    <w:rsid w:val="00E22A0C"/>
    <w:rsid w:val="00E22A6E"/>
    <w:rsid w:val="00E23882"/>
    <w:rsid w:val="00E2453C"/>
    <w:rsid w:val="00E25837"/>
    <w:rsid w:val="00E260B2"/>
    <w:rsid w:val="00E268F4"/>
    <w:rsid w:val="00E26A57"/>
    <w:rsid w:val="00E27911"/>
    <w:rsid w:val="00E27FA1"/>
    <w:rsid w:val="00E30AF0"/>
    <w:rsid w:val="00E31606"/>
    <w:rsid w:val="00E316E3"/>
    <w:rsid w:val="00E31B87"/>
    <w:rsid w:val="00E325FE"/>
    <w:rsid w:val="00E328B9"/>
    <w:rsid w:val="00E3293C"/>
    <w:rsid w:val="00E347C2"/>
    <w:rsid w:val="00E35DAD"/>
    <w:rsid w:val="00E3713B"/>
    <w:rsid w:val="00E3730A"/>
    <w:rsid w:val="00E376CB"/>
    <w:rsid w:val="00E378ED"/>
    <w:rsid w:val="00E41D5E"/>
    <w:rsid w:val="00E4231B"/>
    <w:rsid w:val="00E42661"/>
    <w:rsid w:val="00E42D46"/>
    <w:rsid w:val="00E42F6D"/>
    <w:rsid w:val="00E43011"/>
    <w:rsid w:val="00E435BF"/>
    <w:rsid w:val="00E45204"/>
    <w:rsid w:val="00E45A24"/>
    <w:rsid w:val="00E463FC"/>
    <w:rsid w:val="00E46540"/>
    <w:rsid w:val="00E465D1"/>
    <w:rsid w:val="00E46BBF"/>
    <w:rsid w:val="00E47513"/>
    <w:rsid w:val="00E506CB"/>
    <w:rsid w:val="00E5179F"/>
    <w:rsid w:val="00E51899"/>
    <w:rsid w:val="00E52821"/>
    <w:rsid w:val="00E52F0A"/>
    <w:rsid w:val="00E554B8"/>
    <w:rsid w:val="00E5671C"/>
    <w:rsid w:val="00E5685B"/>
    <w:rsid w:val="00E56BBB"/>
    <w:rsid w:val="00E57086"/>
    <w:rsid w:val="00E57CF0"/>
    <w:rsid w:val="00E6070C"/>
    <w:rsid w:val="00E624AB"/>
    <w:rsid w:val="00E624B6"/>
    <w:rsid w:val="00E6265A"/>
    <w:rsid w:val="00E627F7"/>
    <w:rsid w:val="00E62EC2"/>
    <w:rsid w:val="00E632DD"/>
    <w:rsid w:val="00E640AF"/>
    <w:rsid w:val="00E6565D"/>
    <w:rsid w:val="00E65701"/>
    <w:rsid w:val="00E660FA"/>
    <w:rsid w:val="00E66941"/>
    <w:rsid w:val="00E6787E"/>
    <w:rsid w:val="00E70BD7"/>
    <w:rsid w:val="00E715EA"/>
    <w:rsid w:val="00E71DC9"/>
    <w:rsid w:val="00E72712"/>
    <w:rsid w:val="00E72A3C"/>
    <w:rsid w:val="00E73171"/>
    <w:rsid w:val="00E73676"/>
    <w:rsid w:val="00E74560"/>
    <w:rsid w:val="00E74694"/>
    <w:rsid w:val="00E75FD0"/>
    <w:rsid w:val="00E77806"/>
    <w:rsid w:val="00E80394"/>
    <w:rsid w:val="00E8053C"/>
    <w:rsid w:val="00E809A7"/>
    <w:rsid w:val="00E80E6C"/>
    <w:rsid w:val="00E81268"/>
    <w:rsid w:val="00E81375"/>
    <w:rsid w:val="00E81DC9"/>
    <w:rsid w:val="00E824A7"/>
    <w:rsid w:val="00E82A8D"/>
    <w:rsid w:val="00E82BE8"/>
    <w:rsid w:val="00E831ED"/>
    <w:rsid w:val="00E83D65"/>
    <w:rsid w:val="00E83D73"/>
    <w:rsid w:val="00E8545B"/>
    <w:rsid w:val="00E85CE9"/>
    <w:rsid w:val="00E86218"/>
    <w:rsid w:val="00E87FCF"/>
    <w:rsid w:val="00E9032B"/>
    <w:rsid w:val="00E90B8E"/>
    <w:rsid w:val="00E90FF9"/>
    <w:rsid w:val="00E9149B"/>
    <w:rsid w:val="00E919EF"/>
    <w:rsid w:val="00E91C9B"/>
    <w:rsid w:val="00E93CB1"/>
    <w:rsid w:val="00E93D62"/>
    <w:rsid w:val="00E961E2"/>
    <w:rsid w:val="00E96F39"/>
    <w:rsid w:val="00E970BA"/>
    <w:rsid w:val="00E97164"/>
    <w:rsid w:val="00E97A6A"/>
    <w:rsid w:val="00E97CE6"/>
    <w:rsid w:val="00EA0118"/>
    <w:rsid w:val="00EA0FDF"/>
    <w:rsid w:val="00EA1313"/>
    <w:rsid w:val="00EA1A73"/>
    <w:rsid w:val="00EA1AC8"/>
    <w:rsid w:val="00EA2118"/>
    <w:rsid w:val="00EA2D78"/>
    <w:rsid w:val="00EA2EE7"/>
    <w:rsid w:val="00EA2F35"/>
    <w:rsid w:val="00EA3B73"/>
    <w:rsid w:val="00EA3F38"/>
    <w:rsid w:val="00EA444F"/>
    <w:rsid w:val="00EA4CDD"/>
    <w:rsid w:val="00EA536A"/>
    <w:rsid w:val="00EA55F4"/>
    <w:rsid w:val="00EA5A39"/>
    <w:rsid w:val="00EA6F27"/>
    <w:rsid w:val="00EA7871"/>
    <w:rsid w:val="00EB0256"/>
    <w:rsid w:val="00EB03B0"/>
    <w:rsid w:val="00EB0C62"/>
    <w:rsid w:val="00EB1D86"/>
    <w:rsid w:val="00EB2D42"/>
    <w:rsid w:val="00EB43A3"/>
    <w:rsid w:val="00EB4807"/>
    <w:rsid w:val="00EB4ADE"/>
    <w:rsid w:val="00EB5F27"/>
    <w:rsid w:val="00EB6069"/>
    <w:rsid w:val="00EB6DA7"/>
    <w:rsid w:val="00EB77F9"/>
    <w:rsid w:val="00EB78FE"/>
    <w:rsid w:val="00EB7DC9"/>
    <w:rsid w:val="00EC01FC"/>
    <w:rsid w:val="00EC0C97"/>
    <w:rsid w:val="00EC10DC"/>
    <w:rsid w:val="00EC1584"/>
    <w:rsid w:val="00EC18AF"/>
    <w:rsid w:val="00EC1B8A"/>
    <w:rsid w:val="00EC248F"/>
    <w:rsid w:val="00EC329A"/>
    <w:rsid w:val="00EC406D"/>
    <w:rsid w:val="00EC47A7"/>
    <w:rsid w:val="00EC4ABC"/>
    <w:rsid w:val="00EC593C"/>
    <w:rsid w:val="00EC60F3"/>
    <w:rsid w:val="00EC6AEF"/>
    <w:rsid w:val="00EC6DE3"/>
    <w:rsid w:val="00EC74D8"/>
    <w:rsid w:val="00EC799A"/>
    <w:rsid w:val="00ED1385"/>
    <w:rsid w:val="00ED215A"/>
    <w:rsid w:val="00ED22C2"/>
    <w:rsid w:val="00ED30AD"/>
    <w:rsid w:val="00ED36DF"/>
    <w:rsid w:val="00ED3F85"/>
    <w:rsid w:val="00ED47F5"/>
    <w:rsid w:val="00ED4B83"/>
    <w:rsid w:val="00ED57DD"/>
    <w:rsid w:val="00ED5AC2"/>
    <w:rsid w:val="00ED5E47"/>
    <w:rsid w:val="00ED65FE"/>
    <w:rsid w:val="00ED6C28"/>
    <w:rsid w:val="00ED6DB7"/>
    <w:rsid w:val="00ED6E8E"/>
    <w:rsid w:val="00ED70F2"/>
    <w:rsid w:val="00ED758A"/>
    <w:rsid w:val="00ED7C90"/>
    <w:rsid w:val="00EE0EA1"/>
    <w:rsid w:val="00EE0EB1"/>
    <w:rsid w:val="00EE19E3"/>
    <w:rsid w:val="00EE1AB9"/>
    <w:rsid w:val="00EE2856"/>
    <w:rsid w:val="00EE2B10"/>
    <w:rsid w:val="00EE2D35"/>
    <w:rsid w:val="00EE2F0B"/>
    <w:rsid w:val="00EE3D8F"/>
    <w:rsid w:val="00EE3E32"/>
    <w:rsid w:val="00EE407B"/>
    <w:rsid w:val="00EE425F"/>
    <w:rsid w:val="00EE633A"/>
    <w:rsid w:val="00EE641B"/>
    <w:rsid w:val="00EE783C"/>
    <w:rsid w:val="00EE78DE"/>
    <w:rsid w:val="00EE7B90"/>
    <w:rsid w:val="00EF0ED6"/>
    <w:rsid w:val="00EF1C03"/>
    <w:rsid w:val="00EF1E0F"/>
    <w:rsid w:val="00EF1E15"/>
    <w:rsid w:val="00EF2855"/>
    <w:rsid w:val="00EF447D"/>
    <w:rsid w:val="00EF45D5"/>
    <w:rsid w:val="00EF4ED5"/>
    <w:rsid w:val="00EF560C"/>
    <w:rsid w:val="00EF5D4C"/>
    <w:rsid w:val="00EF66AD"/>
    <w:rsid w:val="00EF7C9D"/>
    <w:rsid w:val="00F006EA"/>
    <w:rsid w:val="00F00B5C"/>
    <w:rsid w:val="00F011FB"/>
    <w:rsid w:val="00F013FD"/>
    <w:rsid w:val="00F018C7"/>
    <w:rsid w:val="00F029FF"/>
    <w:rsid w:val="00F02C0D"/>
    <w:rsid w:val="00F02C89"/>
    <w:rsid w:val="00F02EB6"/>
    <w:rsid w:val="00F04092"/>
    <w:rsid w:val="00F0433D"/>
    <w:rsid w:val="00F054E5"/>
    <w:rsid w:val="00F062C3"/>
    <w:rsid w:val="00F06FCE"/>
    <w:rsid w:val="00F07BAE"/>
    <w:rsid w:val="00F07E20"/>
    <w:rsid w:val="00F10011"/>
    <w:rsid w:val="00F10648"/>
    <w:rsid w:val="00F11187"/>
    <w:rsid w:val="00F116EC"/>
    <w:rsid w:val="00F1308A"/>
    <w:rsid w:val="00F134FE"/>
    <w:rsid w:val="00F1358B"/>
    <w:rsid w:val="00F147BA"/>
    <w:rsid w:val="00F15740"/>
    <w:rsid w:val="00F170F6"/>
    <w:rsid w:val="00F1744E"/>
    <w:rsid w:val="00F17834"/>
    <w:rsid w:val="00F17E04"/>
    <w:rsid w:val="00F208D7"/>
    <w:rsid w:val="00F214BE"/>
    <w:rsid w:val="00F22651"/>
    <w:rsid w:val="00F22C00"/>
    <w:rsid w:val="00F23874"/>
    <w:rsid w:val="00F239B1"/>
    <w:rsid w:val="00F23D4C"/>
    <w:rsid w:val="00F24E58"/>
    <w:rsid w:val="00F250EC"/>
    <w:rsid w:val="00F2523D"/>
    <w:rsid w:val="00F25D91"/>
    <w:rsid w:val="00F25EF5"/>
    <w:rsid w:val="00F26E9F"/>
    <w:rsid w:val="00F270BB"/>
    <w:rsid w:val="00F27457"/>
    <w:rsid w:val="00F2796D"/>
    <w:rsid w:val="00F27C2D"/>
    <w:rsid w:val="00F301BE"/>
    <w:rsid w:val="00F304ED"/>
    <w:rsid w:val="00F304F3"/>
    <w:rsid w:val="00F30652"/>
    <w:rsid w:val="00F30752"/>
    <w:rsid w:val="00F30B0E"/>
    <w:rsid w:val="00F30D26"/>
    <w:rsid w:val="00F30FF2"/>
    <w:rsid w:val="00F3172B"/>
    <w:rsid w:val="00F32256"/>
    <w:rsid w:val="00F32DC9"/>
    <w:rsid w:val="00F33591"/>
    <w:rsid w:val="00F3362A"/>
    <w:rsid w:val="00F33964"/>
    <w:rsid w:val="00F34463"/>
    <w:rsid w:val="00F34DE9"/>
    <w:rsid w:val="00F35209"/>
    <w:rsid w:val="00F35B59"/>
    <w:rsid w:val="00F36274"/>
    <w:rsid w:val="00F36801"/>
    <w:rsid w:val="00F37651"/>
    <w:rsid w:val="00F37B9B"/>
    <w:rsid w:val="00F40A91"/>
    <w:rsid w:val="00F40B2F"/>
    <w:rsid w:val="00F40E1D"/>
    <w:rsid w:val="00F4153F"/>
    <w:rsid w:val="00F41A85"/>
    <w:rsid w:val="00F421C1"/>
    <w:rsid w:val="00F421EC"/>
    <w:rsid w:val="00F427D9"/>
    <w:rsid w:val="00F42C38"/>
    <w:rsid w:val="00F436FE"/>
    <w:rsid w:val="00F43E56"/>
    <w:rsid w:val="00F45408"/>
    <w:rsid w:val="00F45C73"/>
    <w:rsid w:val="00F46C4F"/>
    <w:rsid w:val="00F47D87"/>
    <w:rsid w:val="00F50759"/>
    <w:rsid w:val="00F50EED"/>
    <w:rsid w:val="00F51511"/>
    <w:rsid w:val="00F527A0"/>
    <w:rsid w:val="00F52AFF"/>
    <w:rsid w:val="00F53578"/>
    <w:rsid w:val="00F5358E"/>
    <w:rsid w:val="00F5559F"/>
    <w:rsid w:val="00F555F1"/>
    <w:rsid w:val="00F5565A"/>
    <w:rsid w:val="00F55BC4"/>
    <w:rsid w:val="00F56A5E"/>
    <w:rsid w:val="00F56F88"/>
    <w:rsid w:val="00F57DEF"/>
    <w:rsid w:val="00F57ECD"/>
    <w:rsid w:val="00F60174"/>
    <w:rsid w:val="00F6086F"/>
    <w:rsid w:val="00F615ED"/>
    <w:rsid w:val="00F61646"/>
    <w:rsid w:val="00F63214"/>
    <w:rsid w:val="00F64672"/>
    <w:rsid w:val="00F64F61"/>
    <w:rsid w:val="00F65789"/>
    <w:rsid w:val="00F65DD9"/>
    <w:rsid w:val="00F663EA"/>
    <w:rsid w:val="00F66BDD"/>
    <w:rsid w:val="00F671D3"/>
    <w:rsid w:val="00F67FA3"/>
    <w:rsid w:val="00F7038D"/>
    <w:rsid w:val="00F70894"/>
    <w:rsid w:val="00F70977"/>
    <w:rsid w:val="00F71C6D"/>
    <w:rsid w:val="00F72AA1"/>
    <w:rsid w:val="00F73984"/>
    <w:rsid w:val="00F73FD7"/>
    <w:rsid w:val="00F76AEC"/>
    <w:rsid w:val="00F77C7A"/>
    <w:rsid w:val="00F8007A"/>
    <w:rsid w:val="00F802BA"/>
    <w:rsid w:val="00F80BEF"/>
    <w:rsid w:val="00F814A9"/>
    <w:rsid w:val="00F81948"/>
    <w:rsid w:val="00F81B69"/>
    <w:rsid w:val="00F81EAE"/>
    <w:rsid w:val="00F82121"/>
    <w:rsid w:val="00F82896"/>
    <w:rsid w:val="00F82ABE"/>
    <w:rsid w:val="00F82FEE"/>
    <w:rsid w:val="00F83C60"/>
    <w:rsid w:val="00F83C65"/>
    <w:rsid w:val="00F83CFB"/>
    <w:rsid w:val="00F83F83"/>
    <w:rsid w:val="00F8409E"/>
    <w:rsid w:val="00F8482A"/>
    <w:rsid w:val="00F84A5F"/>
    <w:rsid w:val="00F855E3"/>
    <w:rsid w:val="00F8575A"/>
    <w:rsid w:val="00F85798"/>
    <w:rsid w:val="00F8579B"/>
    <w:rsid w:val="00F85A1A"/>
    <w:rsid w:val="00F85C35"/>
    <w:rsid w:val="00F85C95"/>
    <w:rsid w:val="00F87729"/>
    <w:rsid w:val="00F87C06"/>
    <w:rsid w:val="00F9161E"/>
    <w:rsid w:val="00F91DEC"/>
    <w:rsid w:val="00F92B73"/>
    <w:rsid w:val="00F93876"/>
    <w:rsid w:val="00F938C0"/>
    <w:rsid w:val="00F93F2D"/>
    <w:rsid w:val="00F948BF"/>
    <w:rsid w:val="00F94952"/>
    <w:rsid w:val="00F94A08"/>
    <w:rsid w:val="00F94E28"/>
    <w:rsid w:val="00F953CD"/>
    <w:rsid w:val="00F95540"/>
    <w:rsid w:val="00F957B3"/>
    <w:rsid w:val="00F957D4"/>
    <w:rsid w:val="00F95E62"/>
    <w:rsid w:val="00F96B35"/>
    <w:rsid w:val="00F96EE6"/>
    <w:rsid w:val="00F9757C"/>
    <w:rsid w:val="00FA067A"/>
    <w:rsid w:val="00FA0890"/>
    <w:rsid w:val="00FA1B7B"/>
    <w:rsid w:val="00FA1DD4"/>
    <w:rsid w:val="00FA2032"/>
    <w:rsid w:val="00FA212F"/>
    <w:rsid w:val="00FA2B23"/>
    <w:rsid w:val="00FA404F"/>
    <w:rsid w:val="00FA40C6"/>
    <w:rsid w:val="00FA4F67"/>
    <w:rsid w:val="00FA561B"/>
    <w:rsid w:val="00FA56CE"/>
    <w:rsid w:val="00FA5E36"/>
    <w:rsid w:val="00FA63D2"/>
    <w:rsid w:val="00FA645E"/>
    <w:rsid w:val="00FA685B"/>
    <w:rsid w:val="00FA7FB4"/>
    <w:rsid w:val="00FB0143"/>
    <w:rsid w:val="00FB1398"/>
    <w:rsid w:val="00FB19BD"/>
    <w:rsid w:val="00FB2B67"/>
    <w:rsid w:val="00FB3332"/>
    <w:rsid w:val="00FB333D"/>
    <w:rsid w:val="00FB48E8"/>
    <w:rsid w:val="00FB49B8"/>
    <w:rsid w:val="00FB5A01"/>
    <w:rsid w:val="00FB606F"/>
    <w:rsid w:val="00FB6C2A"/>
    <w:rsid w:val="00FB7154"/>
    <w:rsid w:val="00FB786D"/>
    <w:rsid w:val="00FB7E83"/>
    <w:rsid w:val="00FC00B2"/>
    <w:rsid w:val="00FC0175"/>
    <w:rsid w:val="00FC065D"/>
    <w:rsid w:val="00FC0F90"/>
    <w:rsid w:val="00FC1AE9"/>
    <w:rsid w:val="00FC28B6"/>
    <w:rsid w:val="00FC2A40"/>
    <w:rsid w:val="00FC2F6E"/>
    <w:rsid w:val="00FC3117"/>
    <w:rsid w:val="00FC3626"/>
    <w:rsid w:val="00FC45E1"/>
    <w:rsid w:val="00FC50C6"/>
    <w:rsid w:val="00FC636F"/>
    <w:rsid w:val="00FC64C4"/>
    <w:rsid w:val="00FC7D5B"/>
    <w:rsid w:val="00FD04E3"/>
    <w:rsid w:val="00FD14A8"/>
    <w:rsid w:val="00FD1827"/>
    <w:rsid w:val="00FD1EF6"/>
    <w:rsid w:val="00FD3010"/>
    <w:rsid w:val="00FD3B8B"/>
    <w:rsid w:val="00FD3F91"/>
    <w:rsid w:val="00FD4536"/>
    <w:rsid w:val="00FD499A"/>
    <w:rsid w:val="00FD5911"/>
    <w:rsid w:val="00FD638A"/>
    <w:rsid w:val="00FD7465"/>
    <w:rsid w:val="00FE0941"/>
    <w:rsid w:val="00FE095A"/>
    <w:rsid w:val="00FE0F8D"/>
    <w:rsid w:val="00FE386D"/>
    <w:rsid w:val="00FE448A"/>
    <w:rsid w:val="00FE4D92"/>
    <w:rsid w:val="00FE527B"/>
    <w:rsid w:val="00FE53BA"/>
    <w:rsid w:val="00FE5678"/>
    <w:rsid w:val="00FE5D90"/>
    <w:rsid w:val="00FE694F"/>
    <w:rsid w:val="00FE7063"/>
    <w:rsid w:val="00FE7AFD"/>
    <w:rsid w:val="00FF19A9"/>
    <w:rsid w:val="00FF1C2E"/>
    <w:rsid w:val="00FF2671"/>
    <w:rsid w:val="00FF30E1"/>
    <w:rsid w:val="00FF313C"/>
    <w:rsid w:val="00FF4DED"/>
    <w:rsid w:val="00FF4F18"/>
    <w:rsid w:val="00FF5B9B"/>
    <w:rsid w:val="00FF74CB"/>
    <w:rsid w:val="00FF7ED5"/>
    <w:rsid w:val="00FF7FB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90FD7"/>
    <w:rPr>
      <w:sz w:val="24"/>
      <w:szCs w:val="24"/>
    </w:rPr>
  </w:style>
  <w:style w:type="paragraph" w:styleId="Heading1">
    <w:name w:val="heading 1"/>
    <w:basedOn w:val="Normal"/>
    <w:next w:val="Normal"/>
    <w:link w:val="Heading1Char"/>
    <w:uiPriority w:val="99"/>
    <w:qFormat/>
    <w:rsid w:val="00C14433"/>
    <w:pPr>
      <w:keepNext/>
      <w:jc w:val="both"/>
      <w:outlineLvl w:val="0"/>
    </w:pPr>
    <w:rPr>
      <w:b/>
      <w:sz w:val="22"/>
      <w:szCs w:val="20"/>
    </w:rPr>
  </w:style>
  <w:style w:type="paragraph" w:styleId="Heading2">
    <w:name w:val="heading 2"/>
    <w:basedOn w:val="Normal"/>
    <w:next w:val="Normal"/>
    <w:link w:val="Heading2Char"/>
    <w:uiPriority w:val="99"/>
    <w:qFormat/>
    <w:rsid w:val="00C14433"/>
    <w:pPr>
      <w:keepNext/>
      <w:spacing w:before="180" w:after="30"/>
      <w:outlineLvl w:val="1"/>
    </w:pPr>
    <w:rPr>
      <w:rFonts w:ascii="Verdana" w:hAnsi="Verdana"/>
      <w:b/>
      <w:bCs/>
      <w:caps/>
      <w:color w:val="000080"/>
      <w:sz w:val="27"/>
      <w:szCs w:val="27"/>
    </w:rPr>
  </w:style>
  <w:style w:type="paragraph" w:styleId="Heading3">
    <w:name w:val="heading 3"/>
    <w:basedOn w:val="Normal"/>
    <w:next w:val="Normal"/>
    <w:link w:val="Heading3Char"/>
    <w:uiPriority w:val="99"/>
    <w:qFormat/>
    <w:rsid w:val="00C14433"/>
    <w:pPr>
      <w:keepNext/>
      <w:jc w:val="both"/>
      <w:outlineLvl w:val="2"/>
    </w:pPr>
    <w:rPr>
      <w:rFonts w:ascii="Bookman Old Style" w:hAnsi="Bookman Old Style"/>
      <w:bCs/>
      <w:sz w:val="22"/>
      <w:szCs w:val="20"/>
      <w:u w:val="single"/>
    </w:rPr>
  </w:style>
  <w:style w:type="paragraph" w:styleId="Heading4">
    <w:name w:val="heading 4"/>
    <w:basedOn w:val="Normal"/>
    <w:next w:val="Normal"/>
    <w:link w:val="Heading4Char"/>
    <w:uiPriority w:val="99"/>
    <w:qFormat/>
    <w:rsid w:val="00C14433"/>
    <w:pPr>
      <w:keepNext/>
      <w:outlineLvl w:val="3"/>
    </w:pPr>
    <w:rPr>
      <w:rFonts w:ascii="Bookman Old Style" w:hAnsi="Bookman Old Style"/>
      <w:bCs/>
      <w:sz w:val="22"/>
      <w:szCs w:val="20"/>
      <w:u w:val="single"/>
    </w:rPr>
  </w:style>
  <w:style w:type="paragraph" w:styleId="Heading5">
    <w:name w:val="heading 5"/>
    <w:basedOn w:val="Normal"/>
    <w:next w:val="Normal"/>
    <w:link w:val="Heading5Char"/>
    <w:uiPriority w:val="99"/>
    <w:qFormat/>
    <w:rsid w:val="00C14433"/>
    <w:pPr>
      <w:spacing w:before="240" w:after="60"/>
      <w:outlineLvl w:val="4"/>
    </w:pPr>
    <w:rPr>
      <w:b/>
      <w:bCs/>
      <w:i/>
      <w:iCs/>
      <w:sz w:val="26"/>
      <w:szCs w:val="26"/>
    </w:rPr>
  </w:style>
  <w:style w:type="paragraph" w:styleId="Heading6">
    <w:name w:val="heading 6"/>
    <w:basedOn w:val="Normal"/>
    <w:next w:val="Normal"/>
    <w:link w:val="Heading6Char"/>
    <w:uiPriority w:val="99"/>
    <w:qFormat/>
    <w:rsid w:val="00C14433"/>
    <w:pPr>
      <w:keepNext/>
      <w:jc w:val="both"/>
      <w:outlineLvl w:val="5"/>
    </w:pPr>
    <w:rPr>
      <w:b/>
      <w:bCs/>
      <w:sz w:val="28"/>
      <w:szCs w:val="20"/>
    </w:rPr>
  </w:style>
  <w:style w:type="paragraph" w:styleId="Heading7">
    <w:name w:val="heading 7"/>
    <w:basedOn w:val="Normal"/>
    <w:next w:val="Normal"/>
    <w:link w:val="Heading7Char"/>
    <w:uiPriority w:val="99"/>
    <w:qFormat/>
    <w:rsid w:val="00C14433"/>
    <w:pPr>
      <w:keepNext/>
      <w:ind w:firstLine="708"/>
      <w:jc w:val="both"/>
      <w:outlineLvl w:val="6"/>
    </w:pPr>
    <w:rPr>
      <w:rFonts w:ascii="Bookman Old Style" w:hAnsi="Bookman Old Style"/>
      <w:b/>
      <w:sz w:val="22"/>
      <w:szCs w:val="20"/>
    </w:rPr>
  </w:style>
  <w:style w:type="paragraph" w:styleId="Heading8">
    <w:name w:val="heading 8"/>
    <w:basedOn w:val="Normal"/>
    <w:next w:val="Normal"/>
    <w:link w:val="Heading8Char"/>
    <w:uiPriority w:val="99"/>
    <w:qFormat/>
    <w:rsid w:val="00C14433"/>
    <w:pPr>
      <w:keepNext/>
      <w:outlineLvl w:val="7"/>
    </w:pPr>
    <w:rPr>
      <w:b/>
      <w:bCs/>
      <w:sz w:val="22"/>
      <w:szCs w:val="20"/>
    </w:rPr>
  </w:style>
  <w:style w:type="paragraph" w:styleId="Heading9">
    <w:name w:val="heading 9"/>
    <w:basedOn w:val="Normal"/>
    <w:next w:val="Normal"/>
    <w:link w:val="Heading9Char"/>
    <w:uiPriority w:val="99"/>
    <w:qFormat/>
    <w:rsid w:val="00C14433"/>
    <w:pPr>
      <w:keepNext/>
      <w:jc w:val="center"/>
      <w:outlineLvl w:val="8"/>
    </w:pPr>
    <w:rPr>
      <w:b/>
      <w:bCs/>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14E7"/>
    <w:rPr>
      <w:b/>
      <w:sz w:val="22"/>
    </w:rPr>
  </w:style>
  <w:style w:type="character" w:customStyle="1" w:styleId="Heading2Char">
    <w:name w:val="Heading 2 Char"/>
    <w:basedOn w:val="DefaultParagraphFont"/>
    <w:link w:val="Heading2"/>
    <w:uiPriority w:val="99"/>
    <w:locked/>
    <w:rsid w:val="00DC14E7"/>
    <w:rPr>
      <w:rFonts w:ascii="Verdana" w:hAnsi="Verdana"/>
      <w:b/>
      <w:caps/>
      <w:color w:val="000080"/>
      <w:sz w:val="27"/>
    </w:rPr>
  </w:style>
  <w:style w:type="character" w:customStyle="1" w:styleId="Heading3Char">
    <w:name w:val="Heading 3 Char"/>
    <w:basedOn w:val="DefaultParagraphFont"/>
    <w:link w:val="Heading3"/>
    <w:uiPriority w:val="99"/>
    <w:locked/>
    <w:rsid w:val="00243627"/>
    <w:rPr>
      <w:rFonts w:ascii="Bookman Old Style" w:hAnsi="Bookman Old Style"/>
      <w:sz w:val="22"/>
      <w:u w:val="single"/>
    </w:rPr>
  </w:style>
  <w:style w:type="character" w:customStyle="1" w:styleId="Heading4Char">
    <w:name w:val="Heading 4 Char"/>
    <w:basedOn w:val="DefaultParagraphFont"/>
    <w:link w:val="Heading4"/>
    <w:uiPriority w:val="99"/>
    <w:locked/>
    <w:rsid w:val="00DC14E7"/>
    <w:rPr>
      <w:rFonts w:ascii="Bookman Old Style" w:hAnsi="Bookman Old Style"/>
      <w:sz w:val="22"/>
      <w:u w:val="single"/>
    </w:rPr>
  </w:style>
  <w:style w:type="character" w:customStyle="1" w:styleId="Heading5Char">
    <w:name w:val="Heading 5 Char"/>
    <w:basedOn w:val="DefaultParagraphFont"/>
    <w:link w:val="Heading5"/>
    <w:uiPriority w:val="99"/>
    <w:locked/>
    <w:rsid w:val="00DC14E7"/>
    <w:rPr>
      <w:b/>
      <w:i/>
      <w:sz w:val="26"/>
    </w:rPr>
  </w:style>
  <w:style w:type="character" w:customStyle="1" w:styleId="Heading6Char">
    <w:name w:val="Heading 6 Char"/>
    <w:basedOn w:val="DefaultParagraphFont"/>
    <w:link w:val="Heading6"/>
    <w:uiPriority w:val="99"/>
    <w:locked/>
    <w:rsid w:val="00DC14E7"/>
    <w:rPr>
      <w:b/>
      <w:sz w:val="28"/>
    </w:rPr>
  </w:style>
  <w:style w:type="character" w:customStyle="1" w:styleId="Heading7Char">
    <w:name w:val="Heading 7 Char"/>
    <w:basedOn w:val="DefaultParagraphFont"/>
    <w:link w:val="Heading7"/>
    <w:uiPriority w:val="99"/>
    <w:locked/>
    <w:rsid w:val="00243627"/>
    <w:rPr>
      <w:rFonts w:ascii="Bookman Old Style" w:hAnsi="Bookman Old Style"/>
      <w:b/>
      <w:sz w:val="22"/>
    </w:rPr>
  </w:style>
  <w:style w:type="character" w:customStyle="1" w:styleId="Heading8Char">
    <w:name w:val="Heading 8 Char"/>
    <w:basedOn w:val="DefaultParagraphFont"/>
    <w:link w:val="Heading8"/>
    <w:uiPriority w:val="99"/>
    <w:locked/>
    <w:rsid w:val="00DC14E7"/>
    <w:rPr>
      <w:b/>
      <w:sz w:val="22"/>
    </w:rPr>
  </w:style>
  <w:style w:type="character" w:customStyle="1" w:styleId="Heading9Char">
    <w:name w:val="Heading 9 Char"/>
    <w:basedOn w:val="DefaultParagraphFont"/>
    <w:link w:val="Heading9"/>
    <w:uiPriority w:val="99"/>
    <w:locked/>
    <w:rsid w:val="00DC14E7"/>
    <w:rPr>
      <w:b/>
      <w:sz w:val="28"/>
    </w:rPr>
  </w:style>
  <w:style w:type="character" w:styleId="FollowedHyperlink">
    <w:name w:val="FollowedHyperlink"/>
    <w:basedOn w:val="DefaultParagraphFont"/>
    <w:uiPriority w:val="99"/>
    <w:semiHidden/>
    <w:rsid w:val="00C14433"/>
    <w:rPr>
      <w:rFonts w:cs="Times New Roman"/>
      <w:color w:val="800080"/>
      <w:u w:val="single"/>
    </w:rPr>
  </w:style>
  <w:style w:type="character" w:styleId="Hyperlink">
    <w:name w:val="Hyperlink"/>
    <w:basedOn w:val="DefaultParagraphFont"/>
    <w:uiPriority w:val="99"/>
    <w:rsid w:val="00C14433"/>
    <w:rPr>
      <w:rFonts w:cs="Times New Roman"/>
      <w:color w:val="0000FF"/>
      <w:u w:val="single"/>
    </w:rPr>
  </w:style>
  <w:style w:type="paragraph" w:styleId="NormalWeb">
    <w:name w:val="Normal (Web)"/>
    <w:basedOn w:val="Normal"/>
    <w:uiPriority w:val="99"/>
    <w:rsid w:val="00C14433"/>
    <w:pPr>
      <w:spacing w:before="100" w:beforeAutospacing="1" w:after="100" w:afterAutospacing="1"/>
    </w:pPr>
  </w:style>
  <w:style w:type="character" w:styleId="Strong">
    <w:name w:val="Strong"/>
    <w:basedOn w:val="DefaultParagraphFont"/>
    <w:uiPriority w:val="99"/>
    <w:qFormat/>
    <w:rsid w:val="00C14433"/>
    <w:rPr>
      <w:rFonts w:cs="Times New Roman"/>
      <w:b/>
    </w:rPr>
  </w:style>
  <w:style w:type="paragraph" w:styleId="Header">
    <w:name w:val="header"/>
    <w:basedOn w:val="Normal"/>
    <w:link w:val="HeaderChar"/>
    <w:uiPriority w:val="99"/>
    <w:rsid w:val="00C14433"/>
    <w:pPr>
      <w:tabs>
        <w:tab w:val="center" w:pos="4819"/>
        <w:tab w:val="right" w:pos="9638"/>
      </w:tabs>
    </w:pPr>
  </w:style>
  <w:style w:type="character" w:customStyle="1" w:styleId="HeaderChar">
    <w:name w:val="Header Char"/>
    <w:basedOn w:val="DefaultParagraphFont"/>
    <w:link w:val="Header"/>
    <w:uiPriority w:val="99"/>
    <w:semiHidden/>
    <w:rsid w:val="0003134D"/>
    <w:rPr>
      <w:sz w:val="24"/>
      <w:szCs w:val="24"/>
    </w:rPr>
  </w:style>
  <w:style w:type="paragraph" w:styleId="Footer">
    <w:name w:val="footer"/>
    <w:basedOn w:val="Normal"/>
    <w:link w:val="FooterChar"/>
    <w:uiPriority w:val="99"/>
    <w:rsid w:val="00C14433"/>
    <w:pPr>
      <w:tabs>
        <w:tab w:val="center" w:pos="4819"/>
        <w:tab w:val="right" w:pos="9638"/>
      </w:tabs>
    </w:pPr>
    <w:rPr>
      <w:sz w:val="28"/>
      <w:szCs w:val="20"/>
    </w:rPr>
  </w:style>
  <w:style w:type="character" w:customStyle="1" w:styleId="FooterChar">
    <w:name w:val="Footer Char"/>
    <w:basedOn w:val="DefaultParagraphFont"/>
    <w:link w:val="Footer"/>
    <w:uiPriority w:val="99"/>
    <w:locked/>
    <w:rsid w:val="00747C8F"/>
    <w:rPr>
      <w:sz w:val="28"/>
    </w:rPr>
  </w:style>
  <w:style w:type="character" w:styleId="Emphasis">
    <w:name w:val="Emphasis"/>
    <w:basedOn w:val="DefaultParagraphFont"/>
    <w:uiPriority w:val="99"/>
    <w:qFormat/>
    <w:rsid w:val="00C14433"/>
    <w:rPr>
      <w:rFonts w:cs="Times New Roman"/>
      <w:i/>
    </w:rPr>
  </w:style>
  <w:style w:type="paragraph" w:customStyle="1" w:styleId="Default">
    <w:name w:val="Default"/>
    <w:uiPriority w:val="99"/>
    <w:rsid w:val="00C14433"/>
    <w:pPr>
      <w:autoSpaceDE w:val="0"/>
      <w:autoSpaceDN w:val="0"/>
      <w:adjustRightInd w:val="0"/>
    </w:pPr>
    <w:rPr>
      <w:color w:val="000000"/>
      <w:sz w:val="24"/>
      <w:szCs w:val="24"/>
    </w:rPr>
  </w:style>
  <w:style w:type="paragraph" w:customStyle="1" w:styleId="tx">
    <w:name w:val="tx"/>
    <w:basedOn w:val="Normal"/>
    <w:uiPriority w:val="99"/>
    <w:rsid w:val="00C14433"/>
    <w:pPr>
      <w:spacing w:before="20" w:after="20"/>
      <w:jc w:val="both"/>
    </w:pPr>
  </w:style>
  <w:style w:type="paragraph" w:styleId="FootnoteText">
    <w:name w:val="footnote text"/>
    <w:aliases w:val="Testo nota a piè di pagina Carattere1 Carattere,Testo nota a piè di pagina Carattere Carattere Carattere,Testo nota a piè di pagina Carattere1 Carattere Carattere Carattere,fn Carattere1,fn"/>
    <w:basedOn w:val="Normal"/>
    <w:link w:val="FootnoteTextChar"/>
    <w:uiPriority w:val="99"/>
    <w:rsid w:val="00C14433"/>
    <w:rPr>
      <w:sz w:val="20"/>
    </w:rPr>
  </w:style>
  <w:style w:type="character" w:customStyle="1" w:styleId="FootnoteTextChar">
    <w:name w:val="Footnote Text Char"/>
    <w:aliases w:val="Testo nota a piè di pagina Carattere1 Carattere Char,Testo nota a piè di pagina Carattere Carattere Carattere Char,Testo nota a piè di pagina Carattere1 Carattere Carattere Carattere Char,fn Carattere1 Char,fn Char"/>
    <w:basedOn w:val="DefaultParagraphFont"/>
    <w:link w:val="FootnoteText"/>
    <w:uiPriority w:val="99"/>
    <w:locked/>
    <w:rsid w:val="00473E62"/>
  </w:style>
  <w:style w:type="character" w:styleId="FootnoteReference">
    <w:name w:val="footnote reference"/>
    <w:aliases w:val="(Footnote Reference),SUPERS,EN Footnote Reference,Footnote symbol,Footnote reference number,note TESI,Footnote,Footnote number,fr,o,Footnotemark,FR,Footnotemark1,Footnotemark2,FR1,Footnotemark3,FR2,Footnotemark4,FR3,FR4,FR5"/>
    <w:basedOn w:val="DefaultParagraphFont"/>
    <w:uiPriority w:val="99"/>
    <w:rsid w:val="00C14433"/>
    <w:rPr>
      <w:rFonts w:cs="Times New Roman"/>
      <w:vertAlign w:val="superscript"/>
    </w:rPr>
  </w:style>
  <w:style w:type="paragraph" w:customStyle="1" w:styleId="txp1">
    <w:name w:val="txp1"/>
    <w:basedOn w:val="Normal"/>
    <w:uiPriority w:val="99"/>
    <w:rsid w:val="00C14433"/>
    <w:pPr>
      <w:spacing w:before="20" w:after="20"/>
      <w:jc w:val="center"/>
    </w:pPr>
  </w:style>
  <w:style w:type="character" w:customStyle="1" w:styleId="h">
    <w:name w:val="h"/>
    <w:uiPriority w:val="99"/>
    <w:rsid w:val="00C14433"/>
    <w:rPr>
      <w:rFonts w:ascii="Arial" w:hAnsi="Arial"/>
      <w:vanish/>
      <w:sz w:val="20"/>
      <w:shd w:val="clear" w:color="auto" w:fill="auto"/>
    </w:rPr>
  </w:style>
  <w:style w:type="paragraph" w:customStyle="1" w:styleId="Corpotesto1">
    <w:name w:val="Corpo testo1"/>
    <w:basedOn w:val="Normal"/>
    <w:link w:val="CorpotestoCarattere"/>
    <w:uiPriority w:val="99"/>
    <w:rsid w:val="00C14433"/>
    <w:pPr>
      <w:jc w:val="both"/>
    </w:pPr>
    <w:rPr>
      <w:rFonts w:ascii="Bookman Old Style" w:hAnsi="Bookman Old Style"/>
      <w:bCs/>
      <w:sz w:val="22"/>
      <w:szCs w:val="20"/>
    </w:rPr>
  </w:style>
  <w:style w:type="paragraph" w:styleId="HTMLPreformatted">
    <w:name w:val="HTML Preformatted"/>
    <w:basedOn w:val="Normal"/>
    <w:link w:val="HTMLPreformattedChar"/>
    <w:uiPriority w:val="99"/>
    <w:rsid w:val="00C1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A926DD"/>
    <w:rPr>
      <w:rFonts w:ascii="Courier New" w:hAnsi="Courier New"/>
    </w:rPr>
  </w:style>
  <w:style w:type="paragraph" w:customStyle="1" w:styleId="altc1">
    <w:name w:val="altc1"/>
    <w:basedOn w:val="Normal"/>
    <w:uiPriority w:val="99"/>
    <w:rsid w:val="00C14433"/>
    <w:pPr>
      <w:spacing w:line="285" w:lineRule="atLeast"/>
      <w:jc w:val="center"/>
    </w:pPr>
    <w:rPr>
      <w:rFonts w:ascii="Arial" w:hAnsi="Arial" w:cs="Arial"/>
      <w:sz w:val="20"/>
    </w:rPr>
  </w:style>
  <w:style w:type="paragraph" w:customStyle="1" w:styleId="bodytext2">
    <w:name w:val="bodytext2"/>
    <w:basedOn w:val="Normal"/>
    <w:uiPriority w:val="99"/>
    <w:rsid w:val="00C14433"/>
    <w:pPr>
      <w:spacing w:before="100" w:beforeAutospacing="1" w:after="100" w:afterAutospacing="1"/>
    </w:pPr>
  </w:style>
  <w:style w:type="character" w:customStyle="1" w:styleId="IntestazioneCarattere">
    <w:name w:val="Intestazione Carattere"/>
    <w:uiPriority w:val="99"/>
    <w:rsid w:val="00C14433"/>
    <w:rPr>
      <w:sz w:val="28"/>
    </w:rPr>
  </w:style>
  <w:style w:type="paragraph" w:styleId="BalloonText">
    <w:name w:val="Balloon Text"/>
    <w:basedOn w:val="Normal"/>
    <w:link w:val="BalloonTextChar"/>
    <w:uiPriority w:val="99"/>
    <w:semiHidden/>
    <w:rsid w:val="00C14433"/>
    <w:rPr>
      <w:rFonts w:ascii="Tahoma" w:hAnsi="Tahoma" w:cs="Tahoma"/>
      <w:sz w:val="16"/>
      <w:szCs w:val="16"/>
    </w:rPr>
  </w:style>
  <w:style w:type="character" w:customStyle="1" w:styleId="BalloonTextChar">
    <w:name w:val="Balloon Text Char"/>
    <w:basedOn w:val="DefaultParagraphFont"/>
    <w:link w:val="BalloonText"/>
    <w:uiPriority w:val="99"/>
    <w:semiHidden/>
    <w:rsid w:val="0003134D"/>
    <w:rPr>
      <w:sz w:val="0"/>
      <w:szCs w:val="0"/>
    </w:rPr>
  </w:style>
  <w:style w:type="character" w:customStyle="1" w:styleId="TestofumettoCarattere">
    <w:name w:val="Testo fumetto Carattere"/>
    <w:uiPriority w:val="99"/>
    <w:semiHidden/>
    <w:rsid w:val="00C14433"/>
    <w:rPr>
      <w:rFonts w:ascii="Tahoma" w:hAnsi="Tahoma"/>
      <w:sz w:val="16"/>
    </w:rPr>
  </w:style>
  <w:style w:type="paragraph" w:styleId="BodyText20">
    <w:name w:val="Body Text 2"/>
    <w:basedOn w:val="Normal"/>
    <w:link w:val="BodyText2Char"/>
    <w:uiPriority w:val="99"/>
    <w:semiHidden/>
    <w:rsid w:val="00C14433"/>
    <w:pPr>
      <w:jc w:val="both"/>
    </w:pPr>
    <w:rPr>
      <w:rFonts w:ascii="Bookman Old Style" w:hAnsi="Bookman Old Style"/>
      <w:b/>
      <w:sz w:val="22"/>
      <w:szCs w:val="20"/>
    </w:rPr>
  </w:style>
  <w:style w:type="character" w:customStyle="1" w:styleId="BodyText2Char">
    <w:name w:val="Body Text 2 Char"/>
    <w:basedOn w:val="DefaultParagraphFont"/>
    <w:link w:val="BodyText20"/>
    <w:uiPriority w:val="99"/>
    <w:semiHidden/>
    <w:locked/>
    <w:rsid w:val="00DC14E7"/>
    <w:rPr>
      <w:rFonts w:ascii="Bookman Old Style" w:hAnsi="Bookman Old Style"/>
      <w:b/>
      <w:sz w:val="22"/>
    </w:rPr>
  </w:style>
  <w:style w:type="character" w:customStyle="1" w:styleId="hilite">
    <w:name w:val="hilite"/>
    <w:uiPriority w:val="99"/>
    <w:rsid w:val="00C14433"/>
    <w:rPr>
      <w:color w:val="FFFFFF"/>
      <w:shd w:val="clear" w:color="auto" w:fill="0000FF"/>
    </w:rPr>
  </w:style>
  <w:style w:type="paragraph" w:styleId="BodyText3">
    <w:name w:val="Body Text 3"/>
    <w:basedOn w:val="Normal"/>
    <w:link w:val="BodyText3Char"/>
    <w:uiPriority w:val="99"/>
    <w:rsid w:val="00C14433"/>
    <w:rPr>
      <w:rFonts w:ascii="Bookman Old Style" w:hAnsi="Bookman Old Style"/>
      <w:bCs/>
      <w:sz w:val="22"/>
      <w:szCs w:val="20"/>
    </w:rPr>
  </w:style>
  <w:style w:type="character" w:customStyle="1" w:styleId="BodyText3Char">
    <w:name w:val="Body Text 3 Char"/>
    <w:basedOn w:val="DefaultParagraphFont"/>
    <w:link w:val="BodyText3"/>
    <w:uiPriority w:val="99"/>
    <w:locked/>
    <w:rsid w:val="00DC14E7"/>
    <w:rPr>
      <w:rFonts w:ascii="Bookman Old Style" w:hAnsi="Bookman Old Style"/>
      <w:sz w:val="22"/>
    </w:rPr>
  </w:style>
  <w:style w:type="paragraph" w:styleId="Title">
    <w:name w:val="Title"/>
    <w:basedOn w:val="Normal"/>
    <w:link w:val="TitleChar"/>
    <w:uiPriority w:val="99"/>
    <w:qFormat/>
    <w:rsid w:val="00C14433"/>
    <w:pPr>
      <w:jc w:val="center"/>
    </w:pPr>
    <w:rPr>
      <w:b/>
      <w:bCs/>
      <w:sz w:val="36"/>
    </w:rPr>
  </w:style>
  <w:style w:type="character" w:customStyle="1" w:styleId="TitleChar">
    <w:name w:val="Title Char"/>
    <w:basedOn w:val="DefaultParagraphFont"/>
    <w:link w:val="Title"/>
    <w:uiPriority w:val="99"/>
    <w:locked/>
    <w:rsid w:val="0054719E"/>
    <w:rPr>
      <w:b/>
      <w:sz w:val="24"/>
    </w:rPr>
  </w:style>
  <w:style w:type="paragraph" w:customStyle="1" w:styleId="vr">
    <w:name w:val="vr"/>
    <w:basedOn w:val="Normal"/>
    <w:uiPriority w:val="99"/>
    <w:rsid w:val="00C14433"/>
    <w:pPr>
      <w:spacing w:before="20" w:after="20"/>
    </w:pPr>
  </w:style>
  <w:style w:type="paragraph" w:styleId="ListParagraph">
    <w:name w:val="List Paragraph"/>
    <w:basedOn w:val="Normal"/>
    <w:uiPriority w:val="99"/>
    <w:qFormat/>
    <w:rsid w:val="00C14433"/>
    <w:pPr>
      <w:widowControl w:val="0"/>
      <w:ind w:left="720"/>
      <w:contextualSpacing/>
      <w:jc w:val="both"/>
    </w:pPr>
  </w:style>
  <w:style w:type="paragraph" w:customStyle="1" w:styleId="testotabella">
    <w:name w:val="testo tabella"/>
    <w:basedOn w:val="Normal"/>
    <w:uiPriority w:val="99"/>
    <w:rsid w:val="00C14433"/>
    <w:pPr>
      <w:widowControl w:val="0"/>
      <w:spacing w:after="10" w:line="210" w:lineRule="exact"/>
      <w:ind w:left="28" w:right="28"/>
      <w:jc w:val="both"/>
    </w:pPr>
    <w:rPr>
      <w:rFonts w:ascii="Arial" w:hAnsi="Arial"/>
      <w:sz w:val="14"/>
    </w:rPr>
  </w:style>
  <w:style w:type="character" w:customStyle="1" w:styleId="CarattereCarattere">
    <w:name w:val="Carattere Carattere"/>
    <w:uiPriority w:val="99"/>
    <w:semiHidden/>
    <w:rsid w:val="00C14433"/>
    <w:rPr>
      <w:lang w:val="it-IT" w:eastAsia="it-IT"/>
    </w:rPr>
  </w:style>
  <w:style w:type="paragraph" w:customStyle="1" w:styleId="lf24">
    <w:name w:val="lf24"/>
    <w:basedOn w:val="Normal"/>
    <w:uiPriority w:val="99"/>
    <w:rsid w:val="00C14433"/>
    <w:pPr>
      <w:spacing w:before="100" w:beforeAutospacing="1" w:after="100" w:afterAutospacing="1"/>
    </w:pPr>
    <w:rPr>
      <w:rFonts w:ascii="Arial Unicode MS" w:eastAsia="Arial Unicode MS" w:hAnsi="Arial Unicode MS" w:cs="Arial Unicode MS"/>
    </w:rPr>
  </w:style>
  <w:style w:type="paragraph" w:customStyle="1" w:styleId="testomenuf24">
    <w:name w:val="testomenuf24"/>
    <w:basedOn w:val="Normal"/>
    <w:uiPriority w:val="99"/>
    <w:rsid w:val="00C14433"/>
    <w:pPr>
      <w:spacing w:before="30" w:after="30"/>
    </w:pPr>
    <w:rPr>
      <w:rFonts w:ascii="Arial" w:eastAsia="Arial Unicode MS" w:hAnsi="Arial" w:cs="Arial"/>
      <w:b/>
      <w:bCs/>
      <w:color w:val="0000FF"/>
    </w:rPr>
  </w:style>
  <w:style w:type="paragraph" w:customStyle="1" w:styleId="testomenulf24">
    <w:name w:val="testomenulf24"/>
    <w:basedOn w:val="Normal"/>
    <w:uiPriority w:val="99"/>
    <w:rsid w:val="00C14433"/>
    <w:pPr>
      <w:spacing w:before="40" w:after="30"/>
      <w:ind w:firstLine="120"/>
    </w:pPr>
    <w:rPr>
      <w:rFonts w:ascii="Arial" w:eastAsia="Arial Unicode MS" w:hAnsi="Arial" w:cs="Arial"/>
      <w:b/>
      <w:bCs/>
      <w:i/>
      <w:iCs/>
      <w:color w:val="0000FF"/>
    </w:rPr>
  </w:style>
  <w:style w:type="paragraph" w:customStyle="1" w:styleId="testomenucf24">
    <w:name w:val="testomenucf24"/>
    <w:basedOn w:val="Normal"/>
    <w:uiPriority w:val="99"/>
    <w:rsid w:val="00C14433"/>
    <w:pPr>
      <w:spacing w:before="40" w:after="30"/>
      <w:ind w:firstLine="120"/>
      <w:jc w:val="center"/>
    </w:pPr>
    <w:rPr>
      <w:rFonts w:ascii="Arial" w:eastAsia="Arial Unicode MS" w:hAnsi="Arial" w:cs="Arial"/>
      <w:b/>
      <w:bCs/>
      <w:i/>
      <w:iCs/>
      <w:color w:val="0000FF"/>
    </w:rPr>
  </w:style>
  <w:style w:type="paragraph" w:customStyle="1" w:styleId="testomenulbf24">
    <w:name w:val="testomenulbf24"/>
    <w:basedOn w:val="Normal"/>
    <w:uiPriority w:val="99"/>
    <w:rsid w:val="00C14433"/>
    <w:pPr>
      <w:spacing w:before="40" w:after="30"/>
      <w:ind w:firstLine="240"/>
    </w:pPr>
    <w:rPr>
      <w:rFonts w:ascii="Arial" w:eastAsia="Arial Unicode MS" w:hAnsi="Arial" w:cs="Arial"/>
      <w:b/>
      <w:bCs/>
      <w:color w:val="000000"/>
    </w:rPr>
  </w:style>
  <w:style w:type="paragraph" w:customStyle="1" w:styleId="testomenulrf24">
    <w:name w:val="testomenulrf24"/>
    <w:basedOn w:val="Normal"/>
    <w:uiPriority w:val="99"/>
    <w:rsid w:val="00C14433"/>
    <w:pPr>
      <w:spacing w:before="40" w:after="30"/>
      <w:ind w:firstLine="120"/>
    </w:pPr>
    <w:rPr>
      <w:rFonts w:ascii="Arial" w:eastAsia="Arial Unicode MS" w:hAnsi="Arial" w:cs="Arial"/>
      <w:b/>
      <w:bCs/>
      <w:i/>
      <w:iCs/>
      <w:color w:val="FF0000"/>
      <w:sz w:val="20"/>
    </w:rPr>
  </w:style>
  <w:style w:type="paragraph" w:customStyle="1" w:styleId="testomenucbf24">
    <w:name w:val="testomenucbf24"/>
    <w:basedOn w:val="Normal"/>
    <w:uiPriority w:val="99"/>
    <w:rsid w:val="00C14433"/>
    <w:pPr>
      <w:spacing w:before="40" w:after="30"/>
      <w:jc w:val="center"/>
    </w:pPr>
    <w:rPr>
      <w:rFonts w:ascii="Arial" w:eastAsia="Arial Unicode MS" w:hAnsi="Arial" w:cs="Arial"/>
      <w:b/>
      <w:bCs/>
      <w:color w:val="0000FF"/>
      <w:sz w:val="20"/>
    </w:rPr>
  </w:style>
  <w:style w:type="paragraph" w:customStyle="1" w:styleId="testothf24">
    <w:name w:val="testothf24"/>
    <w:basedOn w:val="Normal"/>
    <w:uiPriority w:val="99"/>
    <w:rsid w:val="00C14433"/>
    <w:pPr>
      <w:spacing w:before="30" w:after="30"/>
    </w:pPr>
    <w:rPr>
      <w:rFonts w:ascii="Arial" w:eastAsia="Arial Unicode MS" w:hAnsi="Arial" w:cs="Arial"/>
      <w:b/>
      <w:bCs/>
      <w:color w:val="000080"/>
      <w:sz w:val="20"/>
    </w:rPr>
  </w:style>
  <w:style w:type="paragraph" w:customStyle="1" w:styleId="testotribf24">
    <w:name w:val="testotribf24"/>
    <w:basedOn w:val="Normal"/>
    <w:uiPriority w:val="99"/>
    <w:rsid w:val="00C14433"/>
    <w:pPr>
      <w:spacing w:before="30" w:after="30"/>
    </w:pPr>
    <w:rPr>
      <w:rFonts w:ascii="Arial" w:eastAsia="Arial Unicode MS" w:hAnsi="Arial" w:cs="Arial"/>
      <w:b/>
      <w:bCs/>
      <w:color w:val="800000"/>
    </w:rPr>
  </w:style>
  <w:style w:type="paragraph" w:customStyle="1" w:styleId="testotabf24">
    <w:name w:val="testotabf24"/>
    <w:basedOn w:val="Normal"/>
    <w:uiPriority w:val="99"/>
    <w:rsid w:val="00C14433"/>
    <w:pPr>
      <w:spacing w:before="30" w:after="30"/>
    </w:pPr>
    <w:rPr>
      <w:rFonts w:ascii="Arial" w:eastAsia="Arial Unicode MS" w:hAnsi="Arial" w:cs="Arial"/>
      <w:b/>
      <w:bCs/>
      <w:color w:val="0000FF"/>
      <w:sz w:val="14"/>
      <w:szCs w:val="14"/>
    </w:rPr>
  </w:style>
  <w:style w:type="paragraph" w:customStyle="1" w:styleId="titolof24">
    <w:name w:val="titolof24"/>
    <w:basedOn w:val="Normal"/>
    <w:uiPriority w:val="99"/>
    <w:rsid w:val="00C14433"/>
    <w:pPr>
      <w:spacing w:before="100" w:beforeAutospacing="1" w:after="100" w:afterAutospacing="1"/>
      <w:jc w:val="center"/>
    </w:pPr>
    <w:rPr>
      <w:rFonts w:ascii="Arial" w:eastAsia="Arial Unicode MS" w:hAnsi="Arial" w:cs="Arial"/>
      <w:b/>
      <w:bCs/>
      <w:color w:val="0000FF"/>
      <w:sz w:val="36"/>
      <w:szCs w:val="36"/>
    </w:rPr>
  </w:style>
  <w:style w:type="paragraph" w:customStyle="1" w:styleId="notaf24">
    <w:name w:val="notaf24"/>
    <w:basedOn w:val="Normal"/>
    <w:uiPriority w:val="99"/>
    <w:rsid w:val="00C14433"/>
    <w:pPr>
      <w:spacing w:before="100" w:beforeAutospacing="1" w:after="100" w:afterAutospacing="1"/>
    </w:pPr>
    <w:rPr>
      <w:rFonts w:ascii="Arial" w:eastAsia="Arial Unicode MS" w:hAnsi="Arial" w:cs="Arial"/>
      <w:b/>
      <w:bCs/>
      <w:color w:val="0000FF"/>
      <w:sz w:val="16"/>
      <w:szCs w:val="16"/>
    </w:rPr>
  </w:style>
  <w:style w:type="paragraph" w:customStyle="1" w:styleId="Titolo21">
    <w:name w:val="Titolo 21"/>
    <w:basedOn w:val="Normal"/>
    <w:uiPriority w:val="99"/>
    <w:rsid w:val="00C14433"/>
    <w:pPr>
      <w:spacing w:before="100" w:beforeAutospacing="1" w:after="100" w:afterAutospacing="1"/>
      <w:jc w:val="center"/>
      <w:outlineLvl w:val="2"/>
    </w:pPr>
    <w:rPr>
      <w:rFonts w:ascii="Arial" w:eastAsia="Arial Unicode MS" w:hAnsi="Arial" w:cs="Arial"/>
      <w:b/>
      <w:bCs/>
      <w:color w:val="000066"/>
      <w:sz w:val="31"/>
      <w:szCs w:val="31"/>
    </w:rPr>
  </w:style>
  <w:style w:type="paragraph" w:customStyle="1" w:styleId="Titolo11">
    <w:name w:val="Titolo 11"/>
    <w:basedOn w:val="Normal"/>
    <w:uiPriority w:val="99"/>
    <w:rsid w:val="00C14433"/>
    <w:pPr>
      <w:spacing w:before="100" w:beforeAutospacing="1" w:after="100" w:afterAutospacing="1"/>
      <w:jc w:val="center"/>
      <w:outlineLvl w:val="1"/>
    </w:pPr>
    <w:rPr>
      <w:rFonts w:ascii="Arial" w:eastAsia="Arial Unicode MS" w:hAnsi="Arial" w:cs="Arial"/>
      <w:b/>
      <w:bCs/>
      <w:color w:val="000066"/>
      <w:kern w:val="36"/>
      <w:sz w:val="34"/>
      <w:szCs w:val="34"/>
    </w:rPr>
  </w:style>
  <w:style w:type="paragraph" w:customStyle="1" w:styleId="Titolo22">
    <w:name w:val="Titolo 22"/>
    <w:basedOn w:val="Normal"/>
    <w:uiPriority w:val="99"/>
    <w:rsid w:val="00C14433"/>
    <w:pPr>
      <w:spacing w:before="100" w:beforeAutospacing="1" w:after="100" w:afterAutospacing="1"/>
      <w:jc w:val="center"/>
      <w:outlineLvl w:val="2"/>
    </w:pPr>
    <w:rPr>
      <w:rFonts w:ascii="Arial" w:eastAsia="Arial Unicode MS" w:hAnsi="Arial" w:cs="Arial"/>
      <w:b/>
      <w:bCs/>
      <w:color w:val="000066"/>
    </w:rPr>
  </w:style>
  <w:style w:type="paragraph" w:customStyle="1" w:styleId="NormaleWeb1">
    <w:name w:val="Normale (Web)1"/>
    <w:basedOn w:val="Normal"/>
    <w:uiPriority w:val="99"/>
    <w:rsid w:val="00C14433"/>
    <w:pPr>
      <w:pBdr>
        <w:top w:val="single" w:sz="2" w:space="24" w:color="008000"/>
        <w:left w:val="single" w:sz="2" w:space="0" w:color="008000"/>
        <w:bottom w:val="single" w:sz="2" w:space="31" w:color="008000"/>
        <w:right w:val="single" w:sz="2" w:space="0" w:color="008000"/>
      </w:pBdr>
      <w:spacing w:before="100" w:beforeAutospacing="1" w:after="100" w:afterAutospacing="1"/>
      <w:jc w:val="center"/>
    </w:pPr>
    <w:rPr>
      <w:rFonts w:ascii="Arial" w:eastAsia="Arial Unicode MS" w:hAnsi="Arial" w:cs="Arial"/>
      <w:b/>
      <w:bCs/>
      <w:color w:val="000066"/>
      <w:sz w:val="29"/>
      <w:szCs w:val="29"/>
    </w:rPr>
  </w:style>
  <w:style w:type="paragraph" w:customStyle="1" w:styleId="lf241">
    <w:name w:val="lf241"/>
    <w:basedOn w:val="Normal"/>
    <w:uiPriority w:val="99"/>
    <w:rsid w:val="00C14433"/>
    <w:pPr>
      <w:pBdr>
        <w:top w:val="single" w:sz="2" w:space="24" w:color="008000"/>
        <w:left w:val="single" w:sz="2" w:space="0" w:color="008000"/>
        <w:bottom w:val="single" w:sz="2" w:space="31" w:color="008000"/>
        <w:right w:val="single" w:sz="2" w:space="0" w:color="008000"/>
      </w:pBdr>
      <w:shd w:val="clear" w:color="auto" w:fill="FFFFFF"/>
      <w:spacing w:before="100" w:beforeAutospacing="1" w:after="100" w:afterAutospacing="1"/>
    </w:pPr>
    <w:rPr>
      <w:rFonts w:ascii="Arial" w:eastAsia="Arial Unicode MS" w:hAnsi="Arial" w:cs="Arial"/>
      <w:b/>
      <w:bCs/>
      <w:color w:val="000066"/>
      <w:sz w:val="29"/>
      <w:szCs w:val="29"/>
    </w:rPr>
  </w:style>
  <w:style w:type="paragraph" w:customStyle="1" w:styleId="NormaleWeb2">
    <w:name w:val="Normale (Web)2"/>
    <w:basedOn w:val="Normal"/>
    <w:uiPriority w:val="99"/>
    <w:rsid w:val="00C14433"/>
    <w:pPr>
      <w:shd w:val="clear" w:color="auto" w:fill="FFFFFF"/>
      <w:spacing w:before="100" w:beforeAutospacing="1" w:after="100" w:afterAutospacing="1"/>
    </w:pPr>
    <w:rPr>
      <w:rFonts w:ascii="Arial" w:eastAsia="Arial Unicode MS" w:hAnsi="Arial" w:cs="Arial"/>
      <w:i/>
      <w:iCs/>
      <w:color w:val="000066"/>
      <w:sz w:val="26"/>
      <w:szCs w:val="26"/>
    </w:rPr>
  </w:style>
  <w:style w:type="paragraph" w:customStyle="1" w:styleId="Titolo23">
    <w:name w:val="Titolo 23"/>
    <w:basedOn w:val="Normal"/>
    <w:uiPriority w:val="99"/>
    <w:rsid w:val="00C14433"/>
    <w:pPr>
      <w:spacing w:before="100" w:beforeAutospacing="1" w:after="100" w:afterAutospacing="1"/>
      <w:outlineLvl w:val="2"/>
    </w:pPr>
    <w:rPr>
      <w:rFonts w:ascii="Arial" w:eastAsia="Arial Unicode MS" w:hAnsi="Arial" w:cs="Arial"/>
      <w:b/>
      <w:bCs/>
      <w:color w:val="FF0000"/>
    </w:rPr>
  </w:style>
  <w:style w:type="paragraph" w:customStyle="1" w:styleId="NormaleWeb3">
    <w:name w:val="Normale (Web)3"/>
    <w:basedOn w:val="Normal"/>
    <w:uiPriority w:val="99"/>
    <w:rsid w:val="00C14433"/>
    <w:pPr>
      <w:spacing w:before="100" w:beforeAutospacing="1" w:after="100" w:afterAutospacing="1"/>
      <w:jc w:val="center"/>
    </w:pPr>
    <w:rPr>
      <w:rFonts w:ascii="Arial" w:eastAsia="Arial Unicode MS" w:hAnsi="Arial" w:cs="Arial"/>
      <w:b/>
      <w:bCs/>
      <w:color w:val="000066"/>
    </w:rPr>
  </w:style>
  <w:style w:type="paragraph" w:customStyle="1" w:styleId="NormaleWeb4">
    <w:name w:val="Normale (Web)4"/>
    <w:basedOn w:val="Normal"/>
    <w:uiPriority w:val="99"/>
    <w:rsid w:val="00C14433"/>
    <w:pPr>
      <w:spacing w:before="100" w:beforeAutospacing="1" w:after="100" w:afterAutospacing="1"/>
    </w:pPr>
    <w:rPr>
      <w:rFonts w:ascii="Arial" w:eastAsia="Arial Unicode MS" w:hAnsi="Arial" w:cs="Arial"/>
      <w:b/>
      <w:bCs/>
      <w:color w:val="000066"/>
      <w:sz w:val="22"/>
      <w:szCs w:val="22"/>
    </w:rPr>
  </w:style>
  <w:style w:type="paragraph" w:customStyle="1" w:styleId="NormaleWeb5">
    <w:name w:val="Normale (Web)5"/>
    <w:basedOn w:val="Normal"/>
    <w:uiPriority w:val="99"/>
    <w:rsid w:val="00C14433"/>
    <w:pPr>
      <w:spacing w:before="100" w:beforeAutospacing="1" w:after="100" w:afterAutospacing="1"/>
      <w:jc w:val="center"/>
    </w:pPr>
    <w:rPr>
      <w:rFonts w:ascii="Arial" w:eastAsia="Arial Unicode MS" w:hAnsi="Arial" w:cs="Arial"/>
      <w:b/>
      <w:bCs/>
      <w:color w:val="000066"/>
    </w:rPr>
  </w:style>
  <w:style w:type="paragraph" w:customStyle="1" w:styleId="NormaleWeb6">
    <w:name w:val="Normale (Web)6"/>
    <w:basedOn w:val="Normal"/>
    <w:uiPriority w:val="99"/>
    <w:rsid w:val="00C14433"/>
    <w:pPr>
      <w:spacing w:before="100" w:beforeAutospacing="1" w:after="100" w:afterAutospacing="1"/>
    </w:pPr>
    <w:rPr>
      <w:rFonts w:ascii="Arial" w:eastAsia="Arial Unicode MS" w:hAnsi="Arial" w:cs="Arial"/>
      <w:i/>
      <w:iCs/>
      <w:color w:val="000066"/>
      <w:sz w:val="22"/>
      <w:szCs w:val="22"/>
    </w:rPr>
  </w:style>
  <w:style w:type="paragraph" w:customStyle="1" w:styleId="NormaleWeb7">
    <w:name w:val="Normale (Web)7"/>
    <w:basedOn w:val="Normal"/>
    <w:uiPriority w:val="99"/>
    <w:rsid w:val="00C14433"/>
    <w:pPr>
      <w:spacing w:before="100" w:beforeAutospacing="1" w:after="100" w:afterAutospacing="1"/>
    </w:pPr>
    <w:rPr>
      <w:rFonts w:ascii="Arial" w:eastAsia="Arial Unicode MS" w:hAnsi="Arial" w:cs="Arial"/>
      <w:i/>
      <w:iCs/>
      <w:color w:val="000066"/>
      <w:sz w:val="22"/>
      <w:szCs w:val="22"/>
    </w:rPr>
  </w:style>
  <w:style w:type="paragraph" w:customStyle="1" w:styleId="NormaleWeb8">
    <w:name w:val="Normale (Web)8"/>
    <w:basedOn w:val="Normal"/>
    <w:uiPriority w:val="99"/>
    <w:rsid w:val="00C14433"/>
    <w:pPr>
      <w:spacing w:before="100" w:beforeAutospacing="1" w:after="100" w:afterAutospacing="1"/>
    </w:pPr>
    <w:rPr>
      <w:rFonts w:ascii="Arial" w:eastAsia="Arial Unicode MS" w:hAnsi="Arial" w:cs="Arial"/>
      <w:color w:val="000066"/>
    </w:rPr>
  </w:style>
  <w:style w:type="paragraph" w:customStyle="1" w:styleId="tornahome">
    <w:name w:val="torna_home"/>
    <w:basedOn w:val="Normal"/>
    <w:uiPriority w:val="99"/>
    <w:rsid w:val="00C14433"/>
    <w:pPr>
      <w:spacing w:before="100" w:beforeAutospacing="1" w:after="100" w:afterAutospacing="1"/>
    </w:pPr>
    <w:rPr>
      <w:rFonts w:ascii="Arial Unicode MS" w:eastAsia="Arial Unicode MS" w:hAnsi="Arial Unicode MS" w:cs="Arial Unicode MS"/>
    </w:rPr>
  </w:style>
  <w:style w:type="character" w:customStyle="1" w:styleId="skipheader">
    <w:name w:val="skipheader"/>
    <w:basedOn w:val="DefaultParagraphFont"/>
    <w:uiPriority w:val="99"/>
    <w:rsid w:val="00C14433"/>
    <w:rPr>
      <w:rFonts w:cs="Times New Roman"/>
    </w:rPr>
  </w:style>
  <w:style w:type="paragraph" w:styleId="BodyTextIndent">
    <w:name w:val="Body Text Indent"/>
    <w:basedOn w:val="Normal"/>
    <w:link w:val="BodyTextIndentChar"/>
    <w:uiPriority w:val="99"/>
    <w:semiHidden/>
    <w:rsid w:val="00C14433"/>
    <w:pPr>
      <w:spacing w:after="120"/>
      <w:ind w:left="283"/>
    </w:pPr>
    <w:rPr>
      <w:sz w:val="28"/>
      <w:szCs w:val="20"/>
    </w:rPr>
  </w:style>
  <w:style w:type="character" w:customStyle="1" w:styleId="BodyTextIndentChar">
    <w:name w:val="Body Text Indent Char"/>
    <w:basedOn w:val="DefaultParagraphFont"/>
    <w:link w:val="BodyTextIndent"/>
    <w:uiPriority w:val="99"/>
    <w:semiHidden/>
    <w:locked/>
    <w:rsid w:val="00DC14E7"/>
    <w:rPr>
      <w:sz w:val="28"/>
    </w:rPr>
  </w:style>
  <w:style w:type="character" w:customStyle="1" w:styleId="quotidianopuntoelenco">
    <w:name w:val="quotidiano_punto_elenco"/>
    <w:basedOn w:val="DefaultParagraphFont"/>
    <w:uiPriority w:val="99"/>
    <w:rsid w:val="00C14433"/>
    <w:rPr>
      <w:rFonts w:cs="Times New Roman"/>
    </w:rPr>
  </w:style>
  <w:style w:type="character" w:customStyle="1" w:styleId="quotidianotestoelemelenco">
    <w:name w:val="quotidiano_testo_elem_elenco"/>
    <w:basedOn w:val="DefaultParagraphFont"/>
    <w:uiPriority w:val="99"/>
    <w:rsid w:val="00C14433"/>
    <w:rPr>
      <w:rFonts w:cs="Times New Roman"/>
    </w:rPr>
  </w:style>
  <w:style w:type="paragraph" w:customStyle="1" w:styleId="quotidianotitoletto1">
    <w:name w:val="quotidiano_titoletto1"/>
    <w:basedOn w:val="Normal"/>
    <w:uiPriority w:val="99"/>
    <w:rsid w:val="00C14433"/>
    <w:pPr>
      <w:spacing w:before="150" w:after="100" w:afterAutospacing="1"/>
    </w:pPr>
    <w:rPr>
      <w:rFonts w:ascii="Trebuchet MS" w:hAnsi="Trebuchet MS"/>
      <w:color w:val="808080"/>
      <w:sz w:val="20"/>
    </w:rPr>
  </w:style>
  <w:style w:type="paragraph" w:styleId="BodyTextIndent2">
    <w:name w:val="Body Text Indent 2"/>
    <w:basedOn w:val="Normal"/>
    <w:link w:val="BodyTextIndent2Char"/>
    <w:uiPriority w:val="99"/>
    <w:semiHidden/>
    <w:rsid w:val="00C14433"/>
    <w:pPr>
      <w:spacing w:after="120" w:line="480" w:lineRule="auto"/>
      <w:ind w:left="283"/>
    </w:pPr>
    <w:rPr>
      <w:sz w:val="28"/>
      <w:szCs w:val="20"/>
    </w:rPr>
  </w:style>
  <w:style w:type="character" w:customStyle="1" w:styleId="BodyTextIndent2Char">
    <w:name w:val="Body Text Indent 2 Char"/>
    <w:basedOn w:val="DefaultParagraphFont"/>
    <w:link w:val="BodyTextIndent2"/>
    <w:uiPriority w:val="99"/>
    <w:semiHidden/>
    <w:locked/>
    <w:rsid w:val="00DC14E7"/>
    <w:rPr>
      <w:sz w:val="28"/>
    </w:rPr>
  </w:style>
  <w:style w:type="paragraph" w:styleId="BodyTextIndent3">
    <w:name w:val="Body Text Indent 3"/>
    <w:basedOn w:val="Normal"/>
    <w:link w:val="BodyTextIndent3Char"/>
    <w:uiPriority w:val="99"/>
    <w:semiHidden/>
    <w:rsid w:val="00C1443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C14E7"/>
    <w:rPr>
      <w:sz w:val="16"/>
    </w:rPr>
  </w:style>
  <w:style w:type="paragraph" w:styleId="z-TopofForm">
    <w:name w:val="HTML Top of Form"/>
    <w:basedOn w:val="Normal"/>
    <w:next w:val="Normal"/>
    <w:link w:val="z-TopofFormChar"/>
    <w:hidden/>
    <w:uiPriority w:val="99"/>
    <w:rsid w:val="00C14433"/>
    <w:pPr>
      <w:pBdr>
        <w:bottom w:val="single" w:sz="6" w:space="1" w:color="auto"/>
      </w:pBdr>
      <w:jc w:val="center"/>
    </w:pPr>
    <w:rPr>
      <w:rFonts w:ascii="Arial" w:eastAsia="Arial Unicode MS" w:hAnsi="Arial"/>
      <w:vanish/>
      <w:sz w:val="16"/>
      <w:szCs w:val="16"/>
    </w:rPr>
  </w:style>
  <w:style w:type="character" w:customStyle="1" w:styleId="z-TopofFormChar">
    <w:name w:val="z-Top of Form Char"/>
    <w:basedOn w:val="DefaultParagraphFont"/>
    <w:link w:val="z-TopofForm"/>
    <w:uiPriority w:val="99"/>
    <w:locked/>
    <w:rsid w:val="00A0593B"/>
    <w:rPr>
      <w:rFonts w:ascii="Arial" w:eastAsia="Arial Unicode MS" w:hAnsi="Arial"/>
      <w:vanish/>
      <w:sz w:val="16"/>
    </w:rPr>
  </w:style>
  <w:style w:type="paragraph" w:styleId="z-BottomofForm">
    <w:name w:val="HTML Bottom of Form"/>
    <w:basedOn w:val="Normal"/>
    <w:next w:val="Normal"/>
    <w:link w:val="z-BottomofFormChar"/>
    <w:hidden/>
    <w:uiPriority w:val="99"/>
    <w:rsid w:val="00C14433"/>
    <w:pPr>
      <w:pBdr>
        <w:top w:val="single" w:sz="6" w:space="1" w:color="auto"/>
      </w:pBdr>
      <w:jc w:val="center"/>
    </w:pPr>
    <w:rPr>
      <w:rFonts w:ascii="Arial" w:eastAsia="Arial Unicode MS" w:hAnsi="Arial"/>
      <w:vanish/>
      <w:sz w:val="16"/>
      <w:szCs w:val="16"/>
    </w:rPr>
  </w:style>
  <w:style w:type="character" w:customStyle="1" w:styleId="z-BottomofFormChar">
    <w:name w:val="z-Bottom of Form Char"/>
    <w:basedOn w:val="DefaultParagraphFont"/>
    <w:link w:val="z-BottomofForm"/>
    <w:uiPriority w:val="99"/>
    <w:locked/>
    <w:rsid w:val="00A0593B"/>
    <w:rPr>
      <w:rFonts w:ascii="Arial" w:eastAsia="Arial Unicode MS" w:hAnsi="Arial"/>
      <w:vanish/>
      <w:sz w:val="16"/>
    </w:rPr>
  </w:style>
  <w:style w:type="paragraph" w:customStyle="1" w:styleId="Titolo14">
    <w:name w:val="Titolo 14"/>
    <w:basedOn w:val="Normal"/>
    <w:uiPriority w:val="99"/>
    <w:rsid w:val="00C14433"/>
    <w:pPr>
      <w:outlineLvl w:val="1"/>
    </w:pPr>
    <w:rPr>
      <w:rFonts w:ascii="Georgia" w:hAnsi="Georgia"/>
      <w:color w:val="1185C2"/>
      <w:kern w:val="36"/>
      <w:sz w:val="34"/>
      <w:szCs w:val="34"/>
    </w:rPr>
  </w:style>
  <w:style w:type="paragraph" w:styleId="BlockText">
    <w:name w:val="Block Text"/>
    <w:basedOn w:val="Normal"/>
    <w:uiPriority w:val="99"/>
    <w:rsid w:val="00C14433"/>
    <w:pPr>
      <w:widowControl w:val="0"/>
      <w:spacing w:before="60"/>
      <w:ind w:left="113" w:right="113"/>
      <w:jc w:val="center"/>
    </w:pPr>
    <w:rPr>
      <w:rFonts w:ascii="Arial" w:hAnsi="Arial"/>
      <w:b/>
      <w:sz w:val="22"/>
    </w:rPr>
  </w:style>
  <w:style w:type="paragraph" w:customStyle="1" w:styleId="Corpodeltesto21">
    <w:name w:val="Corpo del testo 21"/>
    <w:basedOn w:val="Normal"/>
    <w:uiPriority w:val="99"/>
    <w:rsid w:val="00C14433"/>
    <w:pPr>
      <w:widowControl w:val="0"/>
      <w:jc w:val="both"/>
    </w:pPr>
    <w:rPr>
      <w:rFonts w:ascii="Arial" w:hAnsi="Arial"/>
      <w:sz w:val="22"/>
    </w:rPr>
  </w:style>
  <w:style w:type="character" w:styleId="PageNumber">
    <w:name w:val="page number"/>
    <w:basedOn w:val="DefaultParagraphFont"/>
    <w:uiPriority w:val="99"/>
    <w:rsid w:val="00C14433"/>
    <w:rPr>
      <w:rFonts w:ascii="Arial" w:hAnsi="Arial" w:cs="Times New Roman"/>
      <w:sz w:val="22"/>
    </w:rPr>
  </w:style>
  <w:style w:type="character" w:customStyle="1" w:styleId="Collegamentoipertestuale10">
    <w:name w:val="Collegamento ipertestuale10"/>
    <w:uiPriority w:val="99"/>
    <w:rsid w:val="00C14433"/>
    <w:rPr>
      <w:b/>
      <w:color w:val="777777"/>
      <w:u w:val="none"/>
      <w:effect w:val="none"/>
    </w:rPr>
  </w:style>
  <w:style w:type="paragraph" w:customStyle="1" w:styleId="6P">
    <w:name w:val="6P"/>
    <w:basedOn w:val="Normal"/>
    <w:uiPriority w:val="99"/>
    <w:rsid w:val="00C14433"/>
    <w:pPr>
      <w:widowControl w:val="0"/>
      <w:spacing w:line="-120" w:lineRule="auto"/>
      <w:jc w:val="both"/>
    </w:pPr>
    <w:rPr>
      <w:rFonts w:ascii="Arial" w:hAnsi="Arial"/>
      <w:sz w:val="22"/>
    </w:rPr>
  </w:style>
  <w:style w:type="paragraph" w:customStyle="1" w:styleId="Commentotesto">
    <w:name w:val="Commento testo"/>
    <w:basedOn w:val="Normal"/>
    <w:uiPriority w:val="99"/>
    <w:rsid w:val="00C14433"/>
    <w:pPr>
      <w:autoSpaceDE w:val="0"/>
      <w:autoSpaceDN w:val="0"/>
      <w:adjustRightInd w:val="0"/>
      <w:spacing w:before="85" w:line="160" w:lineRule="atLeast"/>
      <w:ind w:left="510" w:right="227" w:hanging="283"/>
      <w:jc w:val="both"/>
    </w:pPr>
    <w:rPr>
      <w:rFonts w:ascii="Times" w:hAnsi="Times"/>
      <w:sz w:val="17"/>
      <w:szCs w:val="17"/>
    </w:rPr>
  </w:style>
  <w:style w:type="paragraph" w:customStyle="1" w:styleId="vrp1">
    <w:name w:val="vrp1"/>
    <w:basedOn w:val="Normal"/>
    <w:uiPriority w:val="99"/>
    <w:rsid w:val="00C14433"/>
    <w:pPr>
      <w:spacing w:before="20" w:after="20"/>
      <w:jc w:val="center"/>
    </w:pPr>
    <w:rPr>
      <w:rFonts w:ascii="Arial Unicode MS" w:eastAsia="Arial Unicode MS" w:hAnsi="Arial Unicode MS" w:cs="Arial Unicode MS"/>
    </w:rPr>
  </w:style>
  <w:style w:type="character" w:customStyle="1" w:styleId="verityhltext">
    <w:name w:val="verity_hltext"/>
    <w:basedOn w:val="DefaultParagraphFont"/>
    <w:uiPriority w:val="99"/>
    <w:rsid w:val="00C14433"/>
    <w:rPr>
      <w:rFonts w:cs="Times New Roman"/>
    </w:rPr>
  </w:style>
  <w:style w:type="character" w:customStyle="1" w:styleId="skypepnhmark">
    <w:name w:val="skype_pnh_mark"/>
    <w:uiPriority w:val="99"/>
    <w:rsid w:val="00C14433"/>
    <w:rPr>
      <w:vanish/>
    </w:rPr>
  </w:style>
  <w:style w:type="character" w:customStyle="1" w:styleId="skypepnhprintcontainer">
    <w:name w:val="skype_pnh_print_container"/>
    <w:basedOn w:val="DefaultParagraphFont"/>
    <w:uiPriority w:val="99"/>
    <w:rsid w:val="00C14433"/>
    <w:rPr>
      <w:rFonts w:cs="Times New Roman"/>
    </w:rPr>
  </w:style>
  <w:style w:type="character" w:customStyle="1" w:styleId="skypepnhcontainer">
    <w:name w:val="skype_pnh_container"/>
    <w:basedOn w:val="DefaultParagraphFont"/>
    <w:uiPriority w:val="99"/>
    <w:rsid w:val="00C14433"/>
    <w:rPr>
      <w:rFonts w:cs="Times New Roman"/>
    </w:rPr>
  </w:style>
  <w:style w:type="character" w:customStyle="1" w:styleId="skypepnhleftspan">
    <w:name w:val="skype_pnh_left_span"/>
    <w:basedOn w:val="DefaultParagraphFont"/>
    <w:uiPriority w:val="99"/>
    <w:rsid w:val="00C14433"/>
    <w:rPr>
      <w:rFonts w:cs="Times New Roman"/>
    </w:rPr>
  </w:style>
  <w:style w:type="character" w:customStyle="1" w:styleId="skypepnhdropartspan">
    <w:name w:val="skype_pnh_dropart_span"/>
    <w:basedOn w:val="DefaultParagraphFont"/>
    <w:uiPriority w:val="99"/>
    <w:rsid w:val="00C14433"/>
    <w:rPr>
      <w:rFonts w:cs="Times New Roman"/>
    </w:rPr>
  </w:style>
  <w:style w:type="character" w:customStyle="1" w:styleId="skypepnhdropartflagspan">
    <w:name w:val="skype_pnh_dropart_flag_span"/>
    <w:basedOn w:val="DefaultParagraphFont"/>
    <w:uiPriority w:val="99"/>
    <w:rsid w:val="00C14433"/>
    <w:rPr>
      <w:rFonts w:cs="Times New Roman"/>
    </w:rPr>
  </w:style>
  <w:style w:type="character" w:customStyle="1" w:styleId="skypepnhtextspan">
    <w:name w:val="skype_pnh_text_span"/>
    <w:basedOn w:val="DefaultParagraphFont"/>
    <w:uiPriority w:val="99"/>
    <w:rsid w:val="00C14433"/>
    <w:rPr>
      <w:rFonts w:cs="Times New Roman"/>
    </w:rPr>
  </w:style>
  <w:style w:type="character" w:customStyle="1" w:styleId="skypepnhrightspan">
    <w:name w:val="skype_pnh_right_span"/>
    <w:basedOn w:val="DefaultParagraphFont"/>
    <w:uiPriority w:val="99"/>
    <w:rsid w:val="00C14433"/>
    <w:rPr>
      <w:rFonts w:cs="Times New Roman"/>
    </w:rPr>
  </w:style>
  <w:style w:type="paragraph" w:customStyle="1" w:styleId="NormaleWeb15">
    <w:name w:val="Normale (Web)15"/>
    <w:basedOn w:val="Normal"/>
    <w:uiPriority w:val="99"/>
    <w:rsid w:val="00C14433"/>
    <w:pPr>
      <w:spacing w:before="120" w:after="120" w:line="300" w:lineRule="atLeast"/>
    </w:pPr>
    <w:rPr>
      <w:sz w:val="17"/>
      <w:szCs w:val="17"/>
    </w:rPr>
  </w:style>
  <w:style w:type="paragraph" w:customStyle="1" w:styleId="Trat">
    <w:name w:val="Trat"/>
    <w:basedOn w:val="Header"/>
    <w:uiPriority w:val="99"/>
    <w:rsid w:val="00C14433"/>
    <w:pPr>
      <w:widowControl w:val="0"/>
      <w:tabs>
        <w:tab w:val="clear" w:pos="4819"/>
        <w:tab w:val="clear" w:pos="9638"/>
        <w:tab w:val="left" w:pos="360"/>
      </w:tabs>
      <w:ind w:left="360" w:hanging="360"/>
      <w:jc w:val="both"/>
    </w:pPr>
    <w:rPr>
      <w:rFonts w:ascii="Arial" w:hAnsi="Arial"/>
      <w:sz w:val="22"/>
    </w:rPr>
  </w:style>
  <w:style w:type="paragraph" w:customStyle="1" w:styleId="Articolo">
    <w:name w:val="Articolo"/>
    <w:uiPriority w:val="99"/>
    <w:rsid w:val="00C14433"/>
    <w:pPr>
      <w:autoSpaceDE w:val="0"/>
      <w:autoSpaceDN w:val="0"/>
      <w:adjustRightInd w:val="0"/>
      <w:spacing w:before="283" w:after="85" w:line="240" w:lineRule="atLeast"/>
      <w:jc w:val="center"/>
    </w:pPr>
    <w:rPr>
      <w:rFonts w:ascii="Times" w:hAnsi="Times"/>
      <w:b/>
      <w:bCs/>
      <w:sz w:val="20"/>
      <w:szCs w:val="20"/>
    </w:rPr>
  </w:style>
  <w:style w:type="paragraph" w:customStyle="1" w:styleId="Normale1">
    <w:name w:val="Normale1"/>
    <w:basedOn w:val="Normal"/>
    <w:uiPriority w:val="99"/>
    <w:rsid w:val="00C14433"/>
    <w:pPr>
      <w:spacing w:before="100" w:beforeAutospacing="1" w:after="150" w:line="270" w:lineRule="atLeast"/>
      <w:jc w:val="both"/>
    </w:pPr>
    <w:rPr>
      <w:color w:val="555555"/>
      <w:sz w:val="21"/>
      <w:szCs w:val="21"/>
    </w:rPr>
  </w:style>
  <w:style w:type="paragraph" w:customStyle="1" w:styleId="RIFERIMENTI">
    <w:name w:val="RIFERIMENTI"/>
    <w:basedOn w:val="Normal"/>
    <w:uiPriority w:val="99"/>
    <w:rsid w:val="00C14433"/>
    <w:pPr>
      <w:numPr>
        <w:ilvl w:val="1"/>
        <w:numId w:val="3"/>
      </w:numPr>
    </w:pPr>
    <w:rPr>
      <w:rFonts w:ascii="Eras Medium ITC" w:hAnsi="Eras Medium ITC" w:cs="Arial"/>
      <w:sz w:val="22"/>
      <w:szCs w:val="22"/>
      <w:lang w:eastAsia="en-US"/>
    </w:rPr>
  </w:style>
  <w:style w:type="paragraph" w:customStyle="1" w:styleId="quotidianotitoletto">
    <w:name w:val="quotidiano_titoletto"/>
    <w:basedOn w:val="Normal"/>
    <w:uiPriority w:val="99"/>
    <w:rsid w:val="00C14433"/>
    <w:pPr>
      <w:spacing w:before="100" w:beforeAutospacing="1" w:after="100" w:afterAutospacing="1"/>
    </w:pPr>
    <w:rPr>
      <w:rFonts w:ascii="Arial Unicode MS" w:eastAsia="Arial Unicode MS" w:hAnsi="Arial Unicode MS" w:cs="Arial Unicode MS"/>
    </w:rPr>
  </w:style>
  <w:style w:type="character" w:customStyle="1" w:styleId="welcome4">
    <w:name w:val="welcome4"/>
    <w:basedOn w:val="DefaultParagraphFont"/>
    <w:uiPriority w:val="99"/>
    <w:rsid w:val="00C14433"/>
    <w:rPr>
      <w:rFonts w:cs="Times New Roman"/>
    </w:rPr>
  </w:style>
  <w:style w:type="paragraph" w:customStyle="1" w:styleId="NormaleWeb13">
    <w:name w:val="Normale (Web)13"/>
    <w:basedOn w:val="Normal"/>
    <w:uiPriority w:val="99"/>
    <w:rsid w:val="00C14433"/>
    <w:pPr>
      <w:spacing w:before="100" w:beforeAutospacing="1" w:after="150" w:line="270" w:lineRule="atLeast"/>
      <w:jc w:val="both"/>
    </w:pPr>
    <w:rPr>
      <w:color w:val="555555"/>
      <w:sz w:val="21"/>
      <w:szCs w:val="21"/>
    </w:rPr>
  </w:style>
  <w:style w:type="paragraph" w:customStyle="1" w:styleId="Disposizionitesto">
    <w:name w:val="Disposizioni testo"/>
    <w:basedOn w:val="Normal"/>
    <w:uiPriority w:val="99"/>
    <w:rsid w:val="00C14433"/>
    <w:pPr>
      <w:tabs>
        <w:tab w:val="right" w:pos="255"/>
        <w:tab w:val="left" w:pos="312"/>
      </w:tabs>
      <w:autoSpaceDE w:val="0"/>
      <w:autoSpaceDN w:val="0"/>
      <w:adjustRightInd w:val="0"/>
      <w:spacing w:before="57" w:line="160" w:lineRule="atLeast"/>
      <w:ind w:left="312" w:hanging="312"/>
      <w:jc w:val="both"/>
    </w:pPr>
    <w:rPr>
      <w:rFonts w:ascii="Times" w:hAnsi="Times"/>
      <w:sz w:val="17"/>
      <w:szCs w:val="17"/>
    </w:rPr>
  </w:style>
  <w:style w:type="paragraph" w:customStyle="1" w:styleId="Testobase">
    <w:name w:val="Testo base"/>
    <w:uiPriority w:val="99"/>
    <w:rsid w:val="00C14433"/>
    <w:pPr>
      <w:tabs>
        <w:tab w:val="right" w:pos="255"/>
        <w:tab w:val="left" w:pos="312"/>
      </w:tabs>
      <w:autoSpaceDE w:val="0"/>
      <w:autoSpaceDN w:val="0"/>
      <w:adjustRightInd w:val="0"/>
      <w:spacing w:before="57" w:line="180" w:lineRule="atLeast"/>
      <w:ind w:left="312" w:hanging="312"/>
      <w:jc w:val="both"/>
    </w:pPr>
    <w:rPr>
      <w:rFonts w:ascii="Times" w:hAnsi="Times"/>
      <w:b/>
      <w:bCs/>
      <w:sz w:val="18"/>
      <w:szCs w:val="18"/>
    </w:rPr>
  </w:style>
  <w:style w:type="paragraph" w:customStyle="1" w:styleId="titolettibianchi">
    <w:name w:val="titoletti_bianchi"/>
    <w:basedOn w:val="Normal"/>
    <w:uiPriority w:val="99"/>
    <w:rsid w:val="00C14433"/>
    <w:pPr>
      <w:spacing w:before="100" w:beforeAutospacing="1" w:after="100" w:afterAutospacing="1" w:line="336" w:lineRule="auto"/>
    </w:pPr>
    <w:rPr>
      <w:rFonts w:ascii="Verdana" w:eastAsia="Arial Unicode MS" w:hAnsi="Verdana" w:cs="Arial Unicode MS"/>
      <w:b/>
      <w:bCs/>
      <w:color w:val="FFFFFF"/>
      <w:sz w:val="17"/>
      <w:szCs w:val="17"/>
    </w:rPr>
  </w:style>
  <w:style w:type="paragraph" w:customStyle="1" w:styleId="testopiccolosp">
    <w:name w:val="testopiccolosp"/>
    <w:basedOn w:val="Normal"/>
    <w:uiPriority w:val="99"/>
    <w:rsid w:val="00C14433"/>
    <w:pPr>
      <w:spacing w:before="100" w:beforeAutospacing="1" w:after="100" w:afterAutospacing="1"/>
    </w:pPr>
    <w:rPr>
      <w:rFonts w:ascii="Arial Unicode MS" w:eastAsia="Arial Unicode MS" w:hAnsi="Arial Unicode MS" w:cs="Arial Unicode MS"/>
    </w:rPr>
  </w:style>
  <w:style w:type="paragraph" w:customStyle="1" w:styleId="Oggetto">
    <w:name w:val="Oggetto"/>
    <w:basedOn w:val="Normal"/>
    <w:uiPriority w:val="99"/>
    <w:rsid w:val="00C14433"/>
    <w:pPr>
      <w:widowControl w:val="0"/>
      <w:jc w:val="both"/>
    </w:pPr>
    <w:rPr>
      <w:rFonts w:ascii="Arial" w:hAnsi="Arial"/>
      <w:b/>
      <w:sz w:val="22"/>
    </w:rPr>
  </w:style>
  <w:style w:type="character" w:customStyle="1" w:styleId="PidipaginaCarattere">
    <w:name w:val="Piè di pagina Carattere"/>
    <w:basedOn w:val="DefaultParagraphFont"/>
    <w:uiPriority w:val="99"/>
    <w:rsid w:val="00C14433"/>
    <w:rPr>
      <w:rFonts w:cs="Times New Roman"/>
    </w:rPr>
  </w:style>
  <w:style w:type="paragraph" w:customStyle="1" w:styleId="BodyText31">
    <w:name w:val="Body Text 31"/>
    <w:basedOn w:val="Normal"/>
    <w:uiPriority w:val="99"/>
    <w:rsid w:val="00C14433"/>
    <w:pPr>
      <w:widowControl w:val="0"/>
      <w:spacing w:before="60" w:after="60"/>
      <w:jc w:val="both"/>
    </w:pPr>
    <w:rPr>
      <w:rFonts w:ascii="Arial" w:hAnsi="Arial"/>
      <w:color w:val="000000"/>
      <w:sz w:val="22"/>
      <w:szCs w:val="22"/>
      <w:lang w:eastAsia="en-US"/>
    </w:rPr>
  </w:style>
  <w:style w:type="paragraph" w:customStyle="1" w:styleId="titoletti">
    <w:name w:val="titoletti"/>
    <w:basedOn w:val="Normal"/>
    <w:uiPriority w:val="99"/>
    <w:rsid w:val="00C14433"/>
    <w:pPr>
      <w:spacing w:before="100" w:beforeAutospacing="1" w:after="100" w:afterAutospacing="1" w:line="336" w:lineRule="auto"/>
    </w:pPr>
    <w:rPr>
      <w:rFonts w:ascii="Verdana" w:hAnsi="Verdana"/>
      <w:b/>
      <w:bCs/>
      <w:color w:val="A71110"/>
      <w:sz w:val="17"/>
      <w:szCs w:val="17"/>
    </w:rPr>
  </w:style>
  <w:style w:type="paragraph" w:customStyle="1" w:styleId="default0">
    <w:name w:val="default"/>
    <w:basedOn w:val="Normal"/>
    <w:uiPriority w:val="99"/>
    <w:rsid w:val="00C14433"/>
    <w:pPr>
      <w:spacing w:before="100" w:beforeAutospacing="1" w:after="100" w:afterAutospacing="1"/>
    </w:pPr>
  </w:style>
  <w:style w:type="paragraph" w:customStyle="1" w:styleId="testopiccolobianco">
    <w:name w:val="testopiccolobianco"/>
    <w:basedOn w:val="Normal"/>
    <w:uiPriority w:val="99"/>
    <w:rsid w:val="00C14433"/>
    <w:pPr>
      <w:spacing w:before="100" w:beforeAutospacing="1" w:after="100" w:afterAutospacing="1" w:line="336" w:lineRule="auto"/>
    </w:pPr>
    <w:rPr>
      <w:rFonts w:ascii="Verdana" w:hAnsi="Verdana"/>
      <w:color w:val="FFFFFF"/>
      <w:sz w:val="17"/>
      <w:szCs w:val="17"/>
    </w:rPr>
  </w:style>
  <w:style w:type="paragraph" w:customStyle="1" w:styleId="Punto">
    <w:name w:val="Punto"/>
    <w:basedOn w:val="Normal"/>
    <w:uiPriority w:val="99"/>
    <w:rsid w:val="00C14433"/>
    <w:pPr>
      <w:widowControl w:val="0"/>
      <w:ind w:left="283" w:hanging="283"/>
      <w:jc w:val="both"/>
    </w:pPr>
    <w:rPr>
      <w:rFonts w:ascii="Arial" w:hAnsi="Arial"/>
      <w:sz w:val="22"/>
      <w:szCs w:val="22"/>
      <w:lang w:eastAsia="en-US"/>
    </w:rPr>
  </w:style>
  <w:style w:type="paragraph" w:customStyle="1" w:styleId="Contenutotabella">
    <w:name w:val="Contenuto tabella"/>
    <w:basedOn w:val="Normal"/>
    <w:uiPriority w:val="99"/>
    <w:rsid w:val="00C14433"/>
    <w:pPr>
      <w:widowControl w:val="0"/>
      <w:suppressLineNumbers/>
      <w:suppressAutoHyphens/>
    </w:pPr>
    <w:rPr>
      <w:rFonts w:eastAsia="Arial Unicode MS"/>
      <w:kern w:val="1"/>
      <w:lang w:eastAsia="hi-IN" w:bidi="hi-IN"/>
    </w:rPr>
  </w:style>
  <w:style w:type="paragraph" w:customStyle="1" w:styleId="Corpodeltesto211">
    <w:name w:val="Corpo del testo 211"/>
    <w:basedOn w:val="Normal"/>
    <w:uiPriority w:val="99"/>
    <w:rsid w:val="00BD5EEA"/>
    <w:pPr>
      <w:widowControl w:val="0"/>
      <w:jc w:val="both"/>
    </w:pPr>
    <w:rPr>
      <w:rFonts w:ascii="Arial" w:hAnsi="Arial"/>
      <w:sz w:val="22"/>
      <w:szCs w:val="22"/>
      <w:lang w:eastAsia="en-US"/>
    </w:rPr>
  </w:style>
  <w:style w:type="paragraph" w:customStyle="1" w:styleId="p1">
    <w:name w:val="p1"/>
    <w:basedOn w:val="Normal"/>
    <w:uiPriority w:val="99"/>
    <w:rsid w:val="004D289B"/>
    <w:pPr>
      <w:spacing w:before="20" w:after="20"/>
      <w:jc w:val="center"/>
    </w:pPr>
    <w:rPr>
      <w:rFonts w:ascii="Arial Unicode MS" w:eastAsia="Arial Unicode MS" w:hAnsi="Arial Unicode MS" w:cs="Arial Unicode MS"/>
    </w:rPr>
  </w:style>
  <w:style w:type="paragraph" w:customStyle="1" w:styleId="Commento">
    <w:name w:val="Commento"/>
    <w:uiPriority w:val="99"/>
    <w:rsid w:val="004D289B"/>
    <w:pPr>
      <w:autoSpaceDE w:val="0"/>
      <w:autoSpaceDN w:val="0"/>
      <w:adjustRightInd w:val="0"/>
      <w:spacing w:before="283" w:after="57" w:line="180" w:lineRule="atLeast"/>
      <w:jc w:val="center"/>
    </w:pPr>
    <w:rPr>
      <w:rFonts w:ascii="Times" w:hAnsi="Times"/>
      <w:b/>
      <w:bCs/>
      <w:sz w:val="19"/>
      <w:szCs w:val="19"/>
    </w:rPr>
  </w:style>
  <w:style w:type="paragraph" w:styleId="PlainText">
    <w:name w:val="Plain Text"/>
    <w:basedOn w:val="Normal"/>
    <w:link w:val="PlainTextChar"/>
    <w:uiPriority w:val="99"/>
    <w:rsid w:val="004048C8"/>
    <w:rPr>
      <w:rFonts w:ascii="Calibri" w:hAnsi="Calibri"/>
      <w:sz w:val="22"/>
      <w:szCs w:val="21"/>
      <w:lang w:eastAsia="en-US"/>
    </w:rPr>
  </w:style>
  <w:style w:type="character" w:customStyle="1" w:styleId="PlainTextChar">
    <w:name w:val="Plain Text Char"/>
    <w:basedOn w:val="DefaultParagraphFont"/>
    <w:link w:val="PlainText"/>
    <w:uiPriority w:val="99"/>
    <w:locked/>
    <w:rsid w:val="004048C8"/>
    <w:rPr>
      <w:rFonts w:ascii="Calibri" w:eastAsia="Times New Roman" w:hAnsi="Calibri"/>
      <w:sz w:val="21"/>
      <w:lang w:eastAsia="en-US"/>
    </w:rPr>
  </w:style>
  <w:style w:type="paragraph" w:customStyle="1" w:styleId="Testopreformattato">
    <w:name w:val="Testo preformattato"/>
    <w:basedOn w:val="Normal"/>
    <w:uiPriority w:val="99"/>
    <w:rsid w:val="001844B1"/>
    <w:pPr>
      <w:widowControl w:val="0"/>
      <w:suppressAutoHyphens/>
    </w:pPr>
    <w:rPr>
      <w:rFonts w:ascii="Cumberland" w:hAnsi="Cumberland"/>
      <w:kern w:val="2"/>
      <w:sz w:val="20"/>
    </w:rPr>
  </w:style>
  <w:style w:type="table" w:styleId="TableGrid">
    <w:name w:val="Table Grid"/>
    <w:basedOn w:val="TableNormal"/>
    <w:uiPriority w:val="99"/>
    <w:rsid w:val="003E42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1D0BBF"/>
    <w:pPr>
      <w:suppressAutoHyphens/>
      <w:autoSpaceDN w:val="0"/>
      <w:spacing w:after="200" w:line="276" w:lineRule="auto"/>
      <w:textAlignment w:val="baseline"/>
    </w:pPr>
    <w:rPr>
      <w:rFonts w:ascii="Calibri" w:eastAsia="Arial Unicode MS" w:hAnsi="Calibri" w:cs="Tahoma"/>
      <w:kern w:val="3"/>
      <w:lang w:eastAsia="en-US"/>
    </w:rPr>
  </w:style>
  <w:style w:type="paragraph" w:styleId="NoSpacing">
    <w:name w:val="No Spacing"/>
    <w:uiPriority w:val="99"/>
    <w:qFormat/>
    <w:rsid w:val="001D0BBF"/>
    <w:pPr>
      <w:widowControl w:val="0"/>
      <w:suppressAutoHyphens/>
      <w:autoSpaceDN w:val="0"/>
      <w:spacing w:after="200" w:line="276" w:lineRule="auto"/>
      <w:textAlignment w:val="baseline"/>
    </w:pPr>
    <w:rPr>
      <w:rFonts w:ascii="Calibri" w:eastAsia="Arial Unicode MS" w:hAnsi="Calibri" w:cs="Tahoma"/>
      <w:kern w:val="3"/>
      <w:lang w:eastAsia="en-US"/>
    </w:rPr>
  </w:style>
  <w:style w:type="paragraph" w:styleId="List2">
    <w:name w:val="List 2"/>
    <w:basedOn w:val="Normal"/>
    <w:uiPriority w:val="99"/>
    <w:semiHidden/>
    <w:rsid w:val="00DC14E7"/>
    <w:pPr>
      <w:widowControl w:val="0"/>
      <w:tabs>
        <w:tab w:val="num" w:pos="360"/>
      </w:tabs>
      <w:ind w:left="360" w:hanging="360"/>
      <w:jc w:val="both"/>
    </w:pPr>
    <w:rPr>
      <w:rFonts w:ascii="Arial" w:hAnsi="Arial"/>
    </w:rPr>
  </w:style>
  <w:style w:type="character" w:customStyle="1" w:styleId="CorpotestoCarattere">
    <w:name w:val="Corpo testo Carattere"/>
    <w:link w:val="Corpotesto1"/>
    <w:uiPriority w:val="99"/>
    <w:locked/>
    <w:rsid w:val="00DC14E7"/>
    <w:rPr>
      <w:rFonts w:ascii="Bookman Old Style" w:hAnsi="Bookman Old Style"/>
      <w:sz w:val="22"/>
    </w:rPr>
  </w:style>
  <w:style w:type="paragraph" w:customStyle="1" w:styleId="Titolone2">
    <w:name w:val="Titolone 2"/>
    <w:basedOn w:val="BodyText20"/>
    <w:uiPriority w:val="99"/>
    <w:rsid w:val="00DC14E7"/>
    <w:pPr>
      <w:ind w:left="113" w:right="113"/>
      <w:jc w:val="left"/>
    </w:pPr>
    <w:rPr>
      <w:rFonts w:ascii="Myriad Pro" w:hAnsi="Myriad Pro"/>
      <w:b w:val="0"/>
      <w:i/>
      <w:iCs/>
      <w:sz w:val="56"/>
    </w:rPr>
  </w:style>
  <w:style w:type="paragraph" w:customStyle="1" w:styleId="c09marge0avecretrait">
    <w:name w:val="c09marge0avecretrait"/>
    <w:basedOn w:val="Normal"/>
    <w:uiPriority w:val="99"/>
    <w:rsid w:val="00DC14E7"/>
    <w:pPr>
      <w:spacing w:after="240"/>
      <w:ind w:left="1134" w:hanging="567"/>
      <w:jc w:val="both"/>
    </w:pPr>
  </w:style>
  <w:style w:type="paragraph" w:customStyle="1" w:styleId="BodyText22">
    <w:name w:val="Body Text 22"/>
    <w:basedOn w:val="Normal"/>
    <w:uiPriority w:val="99"/>
    <w:rsid w:val="00DC14E7"/>
    <w:pPr>
      <w:widowControl w:val="0"/>
      <w:jc w:val="both"/>
    </w:pPr>
    <w:rPr>
      <w:rFonts w:ascii="Arial" w:hAnsi="Arial"/>
      <w:sz w:val="22"/>
    </w:rPr>
  </w:style>
  <w:style w:type="paragraph" w:customStyle="1" w:styleId="a">
    <w:name w:val="'"/>
    <w:basedOn w:val="BodyTextIndent"/>
    <w:uiPriority w:val="99"/>
    <w:rsid w:val="00DC14E7"/>
    <w:pPr>
      <w:widowControl w:val="0"/>
      <w:spacing w:after="0"/>
      <w:ind w:left="0"/>
      <w:jc w:val="both"/>
    </w:pPr>
    <w:rPr>
      <w:rFonts w:ascii="Arial" w:hAnsi="Arial"/>
      <w:sz w:val="22"/>
    </w:rPr>
  </w:style>
  <w:style w:type="paragraph" w:customStyle="1" w:styleId="BENI7">
    <w:name w:val="BENI7"/>
    <w:uiPriority w:val="99"/>
    <w:rsid w:val="00DC14E7"/>
    <w:pPr>
      <w:widowControl w:val="0"/>
      <w:tabs>
        <w:tab w:val="left" w:pos="283"/>
        <w:tab w:val="left" w:pos="567"/>
        <w:tab w:val="left" w:pos="3685"/>
        <w:tab w:val="right" w:pos="5102"/>
        <w:tab w:val="left" w:pos="5386"/>
        <w:tab w:val="left" w:pos="5669"/>
      </w:tabs>
      <w:snapToGrid w:val="0"/>
      <w:spacing w:before="102" w:line="261" w:lineRule="atLeast"/>
      <w:jc w:val="both"/>
    </w:pPr>
    <w:rPr>
      <w:rFonts w:ascii="Arial" w:hAnsi="Arial"/>
      <w:szCs w:val="20"/>
    </w:rPr>
  </w:style>
  <w:style w:type="paragraph" w:customStyle="1" w:styleId="testo">
    <w:name w:val="testo"/>
    <w:basedOn w:val="Normal"/>
    <w:uiPriority w:val="99"/>
    <w:rsid w:val="00DC14E7"/>
    <w:pPr>
      <w:widowControl w:val="0"/>
      <w:tabs>
        <w:tab w:val="left" w:pos="283"/>
        <w:tab w:val="left" w:pos="567"/>
        <w:tab w:val="left" w:pos="850"/>
        <w:tab w:val="left" w:pos="1134"/>
        <w:tab w:val="left" w:pos="1701"/>
        <w:tab w:val="left" w:pos="2268"/>
        <w:tab w:val="left" w:pos="2835"/>
        <w:tab w:val="left" w:pos="3402"/>
        <w:tab w:val="left" w:pos="3969"/>
        <w:tab w:val="left" w:pos="4535"/>
        <w:tab w:val="left" w:pos="5102"/>
        <w:tab w:val="left" w:pos="5669"/>
        <w:tab w:val="left" w:pos="6236"/>
        <w:tab w:val="left" w:pos="6520"/>
        <w:tab w:val="left" w:pos="6803"/>
        <w:tab w:val="left" w:pos="7087"/>
        <w:tab w:val="left" w:pos="7370"/>
        <w:tab w:val="left" w:pos="7654"/>
        <w:tab w:val="left" w:pos="7937"/>
        <w:tab w:val="left" w:pos="8220"/>
        <w:tab w:val="left" w:pos="8504"/>
        <w:tab w:val="left" w:pos="8787"/>
      </w:tabs>
      <w:autoSpaceDE w:val="0"/>
      <w:autoSpaceDN w:val="0"/>
      <w:adjustRightInd w:val="0"/>
      <w:spacing w:after="85" w:line="270" w:lineRule="atLeast"/>
      <w:jc w:val="both"/>
    </w:pPr>
    <w:rPr>
      <w:color w:val="000000"/>
      <w:sz w:val="23"/>
    </w:rPr>
  </w:style>
  <w:style w:type="paragraph" w:customStyle="1" w:styleId="Risultato">
    <w:name w:val="Risultato"/>
    <w:basedOn w:val="Normal"/>
    <w:uiPriority w:val="99"/>
    <w:rsid w:val="00DC14E7"/>
    <w:pPr>
      <w:widowControl w:val="0"/>
      <w:tabs>
        <w:tab w:val="num" w:pos="360"/>
      </w:tabs>
      <w:ind w:left="360" w:hanging="360"/>
      <w:jc w:val="both"/>
    </w:pPr>
    <w:rPr>
      <w:rFonts w:ascii="Arial" w:hAnsi="Arial"/>
    </w:rPr>
  </w:style>
  <w:style w:type="paragraph" w:customStyle="1" w:styleId="Trattino">
    <w:name w:val="Trattino"/>
    <w:basedOn w:val="Corpotesto1"/>
    <w:uiPriority w:val="99"/>
    <w:rsid w:val="00DC14E7"/>
    <w:pPr>
      <w:spacing w:before="120"/>
      <w:ind w:left="283" w:hanging="283"/>
    </w:pPr>
    <w:rPr>
      <w:rFonts w:ascii="Times New Roman" w:hAnsi="Times New Roman"/>
      <w:bCs w:val="0"/>
      <w:sz w:val="24"/>
    </w:rPr>
  </w:style>
  <w:style w:type="character" w:customStyle="1" w:styleId="6PCarattere">
    <w:name w:val="6P Carattere"/>
    <w:uiPriority w:val="99"/>
    <w:rsid w:val="00DC14E7"/>
    <w:rPr>
      <w:rFonts w:ascii="Arial" w:hAnsi="Arial"/>
      <w:sz w:val="22"/>
    </w:rPr>
  </w:style>
  <w:style w:type="character" w:customStyle="1" w:styleId="Titolo2Carattere1">
    <w:name w:val="Titolo 2 Carattere1"/>
    <w:uiPriority w:val="99"/>
    <w:rsid w:val="00DC14E7"/>
    <w:rPr>
      <w:rFonts w:ascii="Arial" w:hAnsi="Arial"/>
      <w:b/>
      <w:caps/>
      <w:sz w:val="22"/>
    </w:rPr>
  </w:style>
  <w:style w:type="paragraph" w:customStyle="1" w:styleId="APCOM2">
    <w:name w:val="AP COM 2"/>
    <w:basedOn w:val="6P"/>
    <w:uiPriority w:val="99"/>
    <w:rsid w:val="00DC14E7"/>
    <w:pPr>
      <w:widowControl/>
      <w:spacing w:line="240" w:lineRule="auto"/>
    </w:pPr>
    <w:rPr>
      <w:rFonts w:ascii="Calibri" w:hAnsi="Calibri"/>
      <w:b/>
      <w:color w:val="7F7F7F"/>
      <w:sz w:val="24"/>
    </w:rPr>
  </w:style>
  <w:style w:type="paragraph" w:customStyle="1" w:styleId="Corpodeltesto1">
    <w:name w:val="Corpo del testo1"/>
    <w:basedOn w:val="Normal"/>
    <w:uiPriority w:val="99"/>
    <w:rsid w:val="00DC14E7"/>
    <w:pPr>
      <w:spacing w:before="100" w:beforeAutospacing="1" w:after="100" w:afterAutospacing="1"/>
    </w:pPr>
  </w:style>
  <w:style w:type="paragraph" w:customStyle="1" w:styleId="Titolone">
    <w:name w:val="Titolone"/>
    <w:basedOn w:val="Corpodeltesto1"/>
    <w:uiPriority w:val="99"/>
    <w:rsid w:val="00DC14E7"/>
    <w:pPr>
      <w:spacing w:before="0" w:beforeAutospacing="0" w:after="0" w:afterAutospacing="0"/>
      <w:ind w:left="113" w:right="113"/>
    </w:pPr>
    <w:rPr>
      <w:rFonts w:ascii="Myriad Pro" w:hAnsi="Myriad Pro"/>
      <w:b/>
      <w:bCs/>
      <w:i/>
      <w:iCs/>
      <w:sz w:val="56"/>
    </w:rPr>
  </w:style>
  <w:style w:type="character" w:customStyle="1" w:styleId="divambitodoc">
    <w:name w:val="divambitodoc"/>
    <w:uiPriority w:val="99"/>
    <w:rsid w:val="00FF1C2E"/>
  </w:style>
  <w:style w:type="character" w:customStyle="1" w:styleId="evidenziatorosso1">
    <w:name w:val="evidenziatorosso1"/>
    <w:uiPriority w:val="99"/>
    <w:rsid w:val="0046672B"/>
    <w:rPr>
      <w:color w:val="900028"/>
    </w:rPr>
  </w:style>
  <w:style w:type="paragraph" w:customStyle="1" w:styleId="p">
    <w:name w:val="p"/>
    <w:basedOn w:val="Normal"/>
    <w:uiPriority w:val="99"/>
    <w:rsid w:val="00633B9B"/>
    <w:pPr>
      <w:spacing w:before="100" w:beforeAutospacing="1" w:after="100" w:afterAutospacing="1"/>
    </w:pPr>
  </w:style>
  <w:style w:type="paragraph" w:customStyle="1" w:styleId="BodyText21">
    <w:name w:val="Body Text 21"/>
    <w:basedOn w:val="Normal"/>
    <w:uiPriority w:val="99"/>
    <w:rsid w:val="00393B4B"/>
    <w:pPr>
      <w:widowControl w:val="0"/>
      <w:jc w:val="both"/>
    </w:pPr>
    <w:rPr>
      <w:rFonts w:ascii="Arial" w:hAnsi="Arial"/>
      <w:sz w:val="22"/>
    </w:rPr>
  </w:style>
  <w:style w:type="paragraph" w:customStyle="1" w:styleId="Normale10">
    <w:name w:val="Normale+1"/>
    <w:basedOn w:val="Default"/>
    <w:next w:val="Default"/>
    <w:uiPriority w:val="99"/>
    <w:rsid w:val="00393B4B"/>
    <w:pPr>
      <w:autoSpaceDE/>
      <w:autoSpaceDN/>
      <w:adjustRightInd/>
      <w:snapToGrid w:val="0"/>
    </w:pPr>
    <w:rPr>
      <w:color w:val="auto"/>
      <w:szCs w:val="20"/>
    </w:rPr>
  </w:style>
  <w:style w:type="paragraph" w:customStyle="1" w:styleId="Normale2">
    <w:name w:val="Normale+2"/>
    <w:basedOn w:val="Default"/>
    <w:next w:val="Default"/>
    <w:uiPriority w:val="99"/>
    <w:rsid w:val="00393B4B"/>
    <w:pPr>
      <w:autoSpaceDE/>
      <w:autoSpaceDN/>
      <w:adjustRightInd/>
      <w:snapToGrid w:val="0"/>
    </w:pPr>
    <w:rPr>
      <w:color w:val="auto"/>
      <w:szCs w:val="20"/>
    </w:rPr>
  </w:style>
  <w:style w:type="paragraph" w:customStyle="1" w:styleId="corpodeltesto">
    <w:name w:val="corpo del testo"/>
    <w:basedOn w:val="PlainText"/>
    <w:link w:val="corpodeltestoCarattere"/>
    <w:uiPriority w:val="99"/>
    <w:semiHidden/>
    <w:rsid w:val="004D413D"/>
    <w:pPr>
      <w:spacing w:line="280" w:lineRule="exact"/>
      <w:ind w:left="1259"/>
      <w:jc w:val="both"/>
    </w:pPr>
    <w:rPr>
      <w:rFonts w:ascii="Arial" w:hAnsi="Arial"/>
      <w:szCs w:val="23"/>
      <w:lang w:eastAsia="it-IT"/>
    </w:rPr>
  </w:style>
  <w:style w:type="character" w:customStyle="1" w:styleId="corpodeltestoCarattere">
    <w:name w:val="corpo del testo Carattere"/>
    <w:link w:val="corpodeltesto"/>
    <w:uiPriority w:val="99"/>
    <w:semiHidden/>
    <w:locked/>
    <w:rsid w:val="004D413D"/>
    <w:rPr>
      <w:rFonts w:ascii="Arial" w:hAnsi="Arial"/>
      <w:sz w:val="23"/>
    </w:rPr>
  </w:style>
  <w:style w:type="paragraph" w:styleId="IntenseQuote">
    <w:name w:val="Intense Quote"/>
    <w:basedOn w:val="Normal"/>
    <w:next w:val="Normal"/>
    <w:link w:val="IntenseQuoteChar"/>
    <w:uiPriority w:val="99"/>
    <w:qFormat/>
    <w:rsid w:val="0062082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620825"/>
    <w:rPr>
      <w:b/>
      <w:i/>
      <w:color w:val="4F81BD"/>
      <w:sz w:val="24"/>
    </w:rPr>
  </w:style>
  <w:style w:type="paragraph" w:customStyle="1" w:styleId="ms-rteelement-p1">
    <w:name w:val="ms-rteelement-p1"/>
    <w:basedOn w:val="Normal"/>
    <w:uiPriority w:val="99"/>
    <w:rsid w:val="00F9161E"/>
    <w:rPr>
      <w:color w:val="333333"/>
      <w:sz w:val="20"/>
    </w:rPr>
  </w:style>
  <w:style w:type="paragraph" w:styleId="Caption">
    <w:name w:val="caption"/>
    <w:basedOn w:val="Normal"/>
    <w:next w:val="Normal"/>
    <w:uiPriority w:val="99"/>
    <w:qFormat/>
    <w:rsid w:val="001B41EC"/>
    <w:pPr>
      <w:autoSpaceDE w:val="0"/>
      <w:autoSpaceDN w:val="0"/>
      <w:adjustRightInd w:val="0"/>
      <w:jc w:val="both"/>
    </w:pPr>
    <w:rPr>
      <w:rFonts w:ascii="Bookman Old Style" w:hAnsi="Bookman Old Style"/>
      <w:b/>
      <w:bCs/>
      <w:color w:val="000000"/>
      <w:sz w:val="22"/>
      <w:szCs w:val="22"/>
      <w:lang w:eastAsia="en-US"/>
    </w:rPr>
  </w:style>
  <w:style w:type="paragraph" w:customStyle="1" w:styleId="ntp1">
    <w:name w:val="ntp1"/>
    <w:basedOn w:val="Normal"/>
    <w:uiPriority w:val="99"/>
    <w:rsid w:val="00CE7E2F"/>
    <w:pPr>
      <w:spacing w:before="20" w:after="20"/>
      <w:jc w:val="center"/>
    </w:pPr>
    <w:rPr>
      <w:rFonts w:ascii="Arial" w:hAnsi="Arial" w:cs="Arial"/>
      <w:sz w:val="20"/>
    </w:rPr>
  </w:style>
  <w:style w:type="paragraph" w:customStyle="1" w:styleId="ntp3">
    <w:name w:val="ntp3"/>
    <w:basedOn w:val="Normal"/>
    <w:uiPriority w:val="99"/>
    <w:rsid w:val="00CE7E2F"/>
    <w:pPr>
      <w:spacing w:before="20" w:after="20"/>
      <w:jc w:val="both"/>
    </w:pPr>
    <w:rPr>
      <w:rFonts w:ascii="Arial" w:hAnsi="Arial" w:cs="Arial"/>
      <w:sz w:val="20"/>
    </w:rPr>
  </w:style>
  <w:style w:type="paragraph" w:customStyle="1" w:styleId="nt">
    <w:name w:val="nt"/>
    <w:basedOn w:val="Normal"/>
    <w:uiPriority w:val="99"/>
    <w:rsid w:val="00CE7E2F"/>
    <w:pPr>
      <w:spacing w:before="20" w:after="20"/>
    </w:pPr>
    <w:rPr>
      <w:rFonts w:ascii="Arial" w:hAnsi="Arial" w:cs="Arial"/>
      <w:sz w:val="20"/>
    </w:rPr>
  </w:style>
  <w:style w:type="paragraph" w:customStyle="1" w:styleId="align-center">
    <w:name w:val="align-center"/>
    <w:basedOn w:val="Normal"/>
    <w:uiPriority w:val="99"/>
    <w:rsid w:val="00033BB3"/>
    <w:pPr>
      <w:spacing w:before="100" w:beforeAutospacing="1" w:after="100" w:afterAutospacing="1" w:line="260" w:lineRule="atLeast"/>
      <w:jc w:val="center"/>
    </w:pPr>
    <w:rPr>
      <w:rFonts w:ascii="Verdana" w:hAnsi="Verdana"/>
      <w:color w:val="24416B"/>
      <w:sz w:val="17"/>
      <w:szCs w:val="17"/>
    </w:rPr>
  </w:style>
  <w:style w:type="paragraph" w:customStyle="1" w:styleId="nu">
    <w:name w:val="nu"/>
    <w:basedOn w:val="Normal"/>
    <w:uiPriority w:val="99"/>
    <w:rsid w:val="005E7E06"/>
    <w:pPr>
      <w:spacing w:before="20" w:after="20"/>
    </w:pPr>
  </w:style>
  <w:style w:type="paragraph" w:customStyle="1" w:styleId="txp2">
    <w:name w:val="txp2"/>
    <w:basedOn w:val="Normal"/>
    <w:uiPriority w:val="99"/>
    <w:rsid w:val="005E7E06"/>
    <w:pPr>
      <w:spacing w:before="20" w:after="20"/>
      <w:jc w:val="right"/>
    </w:pPr>
    <w:rPr>
      <w:rFonts w:ascii="Arial Unicode MS" w:eastAsia="Arial Unicode MS"/>
    </w:rPr>
  </w:style>
  <w:style w:type="table" w:customStyle="1" w:styleId="Grigliatabella1">
    <w:name w:val="Griglia tabella1"/>
    <w:uiPriority w:val="99"/>
    <w:rsid w:val="00747C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INA-">
    <w:name w:val="- PAGINA -"/>
    <w:uiPriority w:val="99"/>
    <w:rsid w:val="00747C8F"/>
    <w:rPr>
      <w:sz w:val="20"/>
      <w:szCs w:val="20"/>
    </w:rPr>
  </w:style>
  <w:style w:type="paragraph" w:customStyle="1" w:styleId="oggetto0">
    <w:name w:val="oggetto"/>
    <w:basedOn w:val="Normal"/>
    <w:uiPriority w:val="99"/>
    <w:rsid w:val="00747C8F"/>
    <w:pPr>
      <w:spacing w:before="100" w:beforeAutospacing="1" w:after="100" w:afterAutospacing="1"/>
    </w:pPr>
  </w:style>
  <w:style w:type="paragraph" w:customStyle="1" w:styleId="Corpodeltesto22">
    <w:name w:val="Corpo del testo 22"/>
    <w:basedOn w:val="Normal"/>
    <w:uiPriority w:val="99"/>
    <w:rsid w:val="00747C8F"/>
    <w:pPr>
      <w:widowControl w:val="0"/>
      <w:jc w:val="both"/>
    </w:pPr>
    <w:rPr>
      <w:rFonts w:ascii="Arial" w:hAnsi="Arial"/>
      <w:sz w:val="22"/>
      <w:szCs w:val="22"/>
      <w:lang w:eastAsia="en-US"/>
    </w:rPr>
  </w:style>
  <w:style w:type="paragraph" w:customStyle="1" w:styleId="Corpodeltesto23">
    <w:name w:val="Corpo del testo 23"/>
    <w:basedOn w:val="Normal"/>
    <w:uiPriority w:val="99"/>
    <w:rsid w:val="00747C8F"/>
    <w:pPr>
      <w:widowControl w:val="0"/>
      <w:jc w:val="both"/>
    </w:pPr>
    <w:rPr>
      <w:rFonts w:ascii="Arial" w:hAnsi="Arial"/>
      <w:sz w:val="22"/>
    </w:rPr>
  </w:style>
  <w:style w:type="paragraph" w:customStyle="1" w:styleId="Corpodeltesto24">
    <w:name w:val="Corpo del testo 24"/>
    <w:basedOn w:val="Normal"/>
    <w:uiPriority w:val="99"/>
    <w:rsid w:val="00747C8F"/>
    <w:pPr>
      <w:widowControl w:val="0"/>
      <w:jc w:val="both"/>
    </w:pPr>
    <w:rPr>
      <w:rFonts w:ascii="Arial" w:hAnsi="Arial"/>
      <w:sz w:val="22"/>
      <w:szCs w:val="22"/>
      <w:lang w:eastAsia="en-US"/>
    </w:rPr>
  </w:style>
  <w:style w:type="paragraph" w:customStyle="1" w:styleId="Body1">
    <w:name w:val="Body 1"/>
    <w:uiPriority w:val="99"/>
    <w:rsid w:val="00747C8F"/>
    <w:rPr>
      <w:rFonts w:ascii="Helvetica" w:eastAsia="Arial Unicode MS" w:hAnsi="Helvetica"/>
      <w:sz w:val="24"/>
      <w:szCs w:val="20"/>
    </w:rPr>
  </w:style>
  <w:style w:type="paragraph" w:customStyle="1" w:styleId="Corpodeltesto25">
    <w:name w:val="Corpo del testo 25"/>
    <w:basedOn w:val="Normal"/>
    <w:uiPriority w:val="99"/>
    <w:rsid w:val="00747C8F"/>
    <w:pPr>
      <w:widowControl w:val="0"/>
      <w:jc w:val="both"/>
    </w:pPr>
    <w:rPr>
      <w:rFonts w:ascii="Arial" w:hAnsi="Arial"/>
      <w:sz w:val="22"/>
      <w:szCs w:val="22"/>
      <w:lang w:eastAsia="en-US"/>
    </w:rPr>
  </w:style>
  <w:style w:type="paragraph" w:customStyle="1" w:styleId="Textbody">
    <w:name w:val="Text body"/>
    <w:basedOn w:val="Normal"/>
    <w:uiPriority w:val="99"/>
    <w:rsid w:val="00747C8F"/>
    <w:pPr>
      <w:suppressAutoHyphens/>
      <w:autoSpaceDN w:val="0"/>
      <w:jc w:val="both"/>
      <w:textAlignment w:val="baseline"/>
    </w:pPr>
    <w:rPr>
      <w:kern w:val="3"/>
      <w:sz w:val="20"/>
      <w:lang w:eastAsia="zh-CN"/>
    </w:rPr>
  </w:style>
  <w:style w:type="paragraph" w:customStyle="1" w:styleId="corpocircolare">
    <w:name w:val="corpo circolare"/>
    <w:basedOn w:val="Normal"/>
    <w:uiPriority w:val="99"/>
    <w:rsid w:val="00747C8F"/>
    <w:pPr>
      <w:spacing w:line="360" w:lineRule="auto"/>
      <w:ind w:firstLine="709"/>
      <w:jc w:val="both"/>
    </w:pPr>
    <w:rPr>
      <w:rFonts w:ascii="Garamond" w:hAnsi="Garamond" w:cs="Arial"/>
      <w:sz w:val="26"/>
      <w:szCs w:val="26"/>
    </w:rPr>
  </w:style>
  <w:style w:type="paragraph" w:customStyle="1" w:styleId="paragrafo">
    <w:name w:val="paragrafo"/>
    <w:basedOn w:val="corpocircolare"/>
    <w:next w:val="corpocircolare"/>
    <w:uiPriority w:val="99"/>
    <w:rsid w:val="00747C8F"/>
    <w:pPr>
      <w:spacing w:before="480" w:after="120"/>
      <w:ind w:firstLine="0"/>
      <w:jc w:val="left"/>
    </w:pPr>
    <w:rPr>
      <w:b/>
      <w:sz w:val="28"/>
    </w:rPr>
  </w:style>
  <w:style w:type="paragraph" w:customStyle="1" w:styleId="H1">
    <w:name w:val="H1"/>
    <w:basedOn w:val="Normal"/>
    <w:next w:val="Normal"/>
    <w:uiPriority w:val="99"/>
    <w:rsid w:val="00747C8F"/>
    <w:pPr>
      <w:keepNext/>
      <w:snapToGrid w:val="0"/>
      <w:spacing w:before="100" w:after="100"/>
      <w:outlineLvl w:val="1"/>
    </w:pPr>
    <w:rPr>
      <w:b/>
      <w:kern w:val="36"/>
      <w:sz w:val="48"/>
    </w:rPr>
  </w:style>
  <w:style w:type="paragraph" w:customStyle="1" w:styleId="Corpodeltesto26">
    <w:name w:val="Corpo del testo 26"/>
    <w:basedOn w:val="Normal"/>
    <w:uiPriority w:val="99"/>
    <w:rsid w:val="00747C8F"/>
    <w:pPr>
      <w:widowControl w:val="0"/>
      <w:jc w:val="both"/>
    </w:pPr>
    <w:rPr>
      <w:rFonts w:ascii="Arial" w:hAnsi="Arial"/>
      <w:sz w:val="22"/>
      <w:szCs w:val="22"/>
      <w:lang w:eastAsia="en-US"/>
    </w:rPr>
  </w:style>
  <w:style w:type="paragraph" w:customStyle="1" w:styleId="Corpodeltesto31">
    <w:name w:val="Corpo del testo 31"/>
    <w:basedOn w:val="Normal"/>
    <w:uiPriority w:val="99"/>
    <w:rsid w:val="00747C8F"/>
    <w:pPr>
      <w:widowControl w:val="0"/>
      <w:jc w:val="both"/>
    </w:pPr>
    <w:rPr>
      <w:rFonts w:ascii="Arial" w:hAnsi="Arial"/>
    </w:rPr>
  </w:style>
  <w:style w:type="paragraph" w:customStyle="1" w:styleId="Corpodeltesto27">
    <w:name w:val="Corpo del testo 27"/>
    <w:basedOn w:val="Normal"/>
    <w:uiPriority w:val="99"/>
    <w:rsid w:val="00747C8F"/>
    <w:pPr>
      <w:widowControl w:val="0"/>
      <w:jc w:val="both"/>
    </w:pPr>
    <w:rPr>
      <w:rFonts w:ascii="Arial" w:hAnsi="Arial"/>
      <w:sz w:val="22"/>
      <w:szCs w:val="22"/>
      <w:lang w:eastAsia="en-US"/>
    </w:rPr>
  </w:style>
  <w:style w:type="paragraph" w:customStyle="1" w:styleId="Corpodeltesto2">
    <w:name w:val="Corpo del testo2"/>
    <w:basedOn w:val="Corpotesto1"/>
    <w:uiPriority w:val="99"/>
    <w:rsid w:val="00762621"/>
    <w:pPr>
      <w:spacing w:before="48" w:line="260" w:lineRule="exact"/>
    </w:pPr>
    <w:rPr>
      <w:rFonts w:ascii="Arial" w:hAnsi="Arial"/>
      <w:bCs w:val="0"/>
      <w:sz w:val="20"/>
    </w:rPr>
  </w:style>
  <w:style w:type="character" w:customStyle="1" w:styleId="st">
    <w:name w:val="st"/>
    <w:uiPriority w:val="99"/>
    <w:rsid w:val="0067169E"/>
  </w:style>
  <w:style w:type="paragraph" w:customStyle="1" w:styleId="pchitnpreaderpageartdlgexsommario">
    <w:name w:val="pchitnpreader_page_art_dlg_ex_sommario"/>
    <w:basedOn w:val="Normal"/>
    <w:uiPriority w:val="99"/>
    <w:rsid w:val="0062059F"/>
    <w:pPr>
      <w:spacing w:before="100" w:beforeAutospacing="1" w:after="100" w:afterAutospacing="1"/>
    </w:pPr>
  </w:style>
  <w:style w:type="paragraph" w:customStyle="1" w:styleId="pchitnpreaderpageartdlgextesto">
    <w:name w:val="pchitnpreader_page_art_dlg_ex_testo"/>
    <w:basedOn w:val="Normal"/>
    <w:uiPriority w:val="99"/>
    <w:rsid w:val="0062059F"/>
    <w:pPr>
      <w:spacing w:before="100" w:beforeAutospacing="1" w:after="100" w:afterAutospacing="1"/>
    </w:pPr>
  </w:style>
  <w:style w:type="paragraph" w:styleId="EndnoteText">
    <w:name w:val="endnote text"/>
    <w:basedOn w:val="Normal"/>
    <w:link w:val="EndnoteTextChar"/>
    <w:uiPriority w:val="99"/>
    <w:semiHidden/>
    <w:rsid w:val="00F671D3"/>
    <w:rPr>
      <w:rFonts w:ascii="Calibri" w:hAnsi="Calibri"/>
      <w:sz w:val="20"/>
      <w:szCs w:val="20"/>
      <w:lang w:eastAsia="en-US"/>
    </w:rPr>
  </w:style>
  <w:style w:type="character" w:customStyle="1" w:styleId="EndnoteTextChar">
    <w:name w:val="Endnote Text Char"/>
    <w:basedOn w:val="DefaultParagraphFont"/>
    <w:link w:val="EndnoteText"/>
    <w:uiPriority w:val="99"/>
    <w:semiHidden/>
    <w:locked/>
    <w:rsid w:val="00F671D3"/>
    <w:rPr>
      <w:rFonts w:ascii="Calibri" w:eastAsia="Times New Roman" w:hAnsi="Calibri"/>
      <w:lang w:eastAsia="en-US"/>
    </w:rPr>
  </w:style>
  <w:style w:type="character" w:styleId="EndnoteReference">
    <w:name w:val="endnote reference"/>
    <w:basedOn w:val="DefaultParagraphFont"/>
    <w:uiPriority w:val="99"/>
    <w:semiHidden/>
    <w:rsid w:val="00F671D3"/>
    <w:rPr>
      <w:rFonts w:cs="Times New Roman"/>
      <w:vertAlign w:val="superscript"/>
    </w:rPr>
  </w:style>
  <w:style w:type="character" w:customStyle="1" w:styleId="paginazioneindietro">
    <w:name w:val="paginazioneindietro"/>
    <w:uiPriority w:val="99"/>
    <w:rsid w:val="000F58FA"/>
  </w:style>
  <w:style w:type="character" w:customStyle="1" w:styleId="paginazioneselezionata">
    <w:name w:val="paginazioneselezionata"/>
    <w:uiPriority w:val="99"/>
    <w:rsid w:val="000F58FA"/>
  </w:style>
  <w:style w:type="character" w:customStyle="1" w:styleId="paginazionepuntini">
    <w:name w:val="paginazionepuntini"/>
    <w:uiPriority w:val="99"/>
    <w:rsid w:val="000F58FA"/>
  </w:style>
  <w:style w:type="character" w:customStyle="1" w:styleId="paginazioneavanti">
    <w:name w:val="paginazioneavanti"/>
    <w:uiPriority w:val="99"/>
    <w:rsid w:val="000F58FA"/>
  </w:style>
  <w:style w:type="character" w:customStyle="1" w:styleId="apple-converted-space">
    <w:name w:val="apple-converted-space"/>
    <w:uiPriority w:val="99"/>
    <w:rsid w:val="00D961A5"/>
  </w:style>
  <w:style w:type="character" w:customStyle="1" w:styleId="post-meta">
    <w:name w:val="post-meta"/>
    <w:uiPriority w:val="99"/>
    <w:rsid w:val="003A5CF5"/>
  </w:style>
  <w:style w:type="character" w:customStyle="1" w:styleId="rosso1">
    <w:name w:val="rosso1"/>
    <w:uiPriority w:val="99"/>
    <w:rsid w:val="003A5CF5"/>
    <w:rPr>
      <w:vanish/>
      <w:color w:val="990000"/>
    </w:rPr>
  </w:style>
  <w:style w:type="paragraph" w:customStyle="1" w:styleId="c3689">
    <w:name w:val="c3689"/>
    <w:basedOn w:val="Normal"/>
    <w:uiPriority w:val="99"/>
    <w:rsid w:val="009411EA"/>
    <w:pPr>
      <w:spacing w:before="100" w:beforeAutospacing="1" w:after="100" w:afterAutospacing="1"/>
    </w:pPr>
  </w:style>
  <w:style w:type="paragraph" w:customStyle="1" w:styleId="c3690">
    <w:name w:val="c3690"/>
    <w:basedOn w:val="Normal"/>
    <w:uiPriority w:val="99"/>
    <w:rsid w:val="009411EA"/>
    <w:pPr>
      <w:spacing w:before="100" w:beforeAutospacing="1" w:after="100" w:afterAutospacing="1"/>
    </w:pPr>
  </w:style>
  <w:style w:type="paragraph" w:customStyle="1" w:styleId="Preformatted">
    <w:name w:val="Preformatted"/>
    <w:basedOn w:val="Normal"/>
    <w:uiPriority w:val="99"/>
    <w:rsid w:val="00A0593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rPr>
  </w:style>
  <w:style w:type="paragraph" w:customStyle="1" w:styleId="post-by">
    <w:name w:val="post-by"/>
    <w:basedOn w:val="Normal"/>
    <w:uiPriority w:val="99"/>
    <w:rsid w:val="00A0593B"/>
    <w:rPr>
      <w:sz w:val="23"/>
      <w:szCs w:val="23"/>
    </w:rPr>
  </w:style>
  <w:style w:type="character" w:customStyle="1" w:styleId="googqs-tidbit">
    <w:name w:val="goog_qs-tidbit"/>
    <w:uiPriority w:val="99"/>
    <w:rsid w:val="00A0593B"/>
  </w:style>
  <w:style w:type="character" w:customStyle="1" w:styleId="usernote-link1">
    <w:name w:val="usernote-link1"/>
    <w:uiPriority w:val="99"/>
    <w:rsid w:val="00A0593B"/>
    <w:rPr>
      <w:shd w:val="clear" w:color="auto" w:fill="FFFF00"/>
    </w:rPr>
  </w:style>
  <w:style w:type="character" w:customStyle="1" w:styleId="hscoswrapper">
    <w:name w:val="hs_cos_wrapper"/>
    <w:uiPriority w:val="99"/>
    <w:rsid w:val="00A0593B"/>
  </w:style>
  <w:style w:type="paragraph" w:customStyle="1" w:styleId="hubspot-editable">
    <w:name w:val="hubspot-editable"/>
    <w:basedOn w:val="Normal"/>
    <w:uiPriority w:val="99"/>
    <w:rsid w:val="00A0593B"/>
    <w:pPr>
      <w:spacing w:before="100" w:beforeAutospacing="1" w:after="100" w:afterAutospacing="1"/>
    </w:pPr>
  </w:style>
  <w:style w:type="character" w:customStyle="1" w:styleId="hs-author-label">
    <w:name w:val="hs-author-label"/>
    <w:uiPriority w:val="99"/>
    <w:rsid w:val="00A0593B"/>
  </w:style>
  <w:style w:type="character" w:customStyle="1" w:styleId="pub-date1">
    <w:name w:val="pub-date1"/>
    <w:uiPriority w:val="99"/>
    <w:rsid w:val="00A0593B"/>
  </w:style>
  <w:style w:type="paragraph" w:styleId="HTMLAddress">
    <w:name w:val="HTML Address"/>
    <w:basedOn w:val="Normal"/>
    <w:link w:val="HTMLAddressChar"/>
    <w:uiPriority w:val="99"/>
    <w:semiHidden/>
    <w:rsid w:val="00A0593B"/>
    <w:rPr>
      <w:i/>
      <w:iCs/>
    </w:rPr>
  </w:style>
  <w:style w:type="character" w:customStyle="1" w:styleId="HTMLAddressChar">
    <w:name w:val="HTML Address Char"/>
    <w:basedOn w:val="DefaultParagraphFont"/>
    <w:link w:val="HTMLAddress"/>
    <w:uiPriority w:val="99"/>
    <w:semiHidden/>
    <w:locked/>
    <w:rsid w:val="00A0593B"/>
    <w:rPr>
      <w:i/>
      <w:sz w:val="24"/>
    </w:rPr>
  </w:style>
  <w:style w:type="paragraph" w:customStyle="1" w:styleId="tag">
    <w:name w:val="tag"/>
    <w:basedOn w:val="Normal"/>
    <w:uiPriority w:val="99"/>
    <w:rsid w:val="00A0593B"/>
    <w:pPr>
      <w:spacing w:after="300"/>
    </w:pPr>
  </w:style>
  <w:style w:type="paragraph" w:customStyle="1" w:styleId="keywords">
    <w:name w:val="keywords"/>
    <w:basedOn w:val="Normal"/>
    <w:uiPriority w:val="99"/>
    <w:rsid w:val="00A0593B"/>
    <w:pPr>
      <w:spacing w:after="300"/>
    </w:pPr>
  </w:style>
  <w:style w:type="paragraph" w:customStyle="1" w:styleId="abstract">
    <w:name w:val="abstract"/>
    <w:basedOn w:val="Normal"/>
    <w:uiPriority w:val="99"/>
    <w:rsid w:val="00A0593B"/>
    <w:pPr>
      <w:spacing w:after="300"/>
    </w:pPr>
  </w:style>
  <w:style w:type="character" w:customStyle="1" w:styleId="in-widget">
    <w:name w:val="in-widget"/>
    <w:uiPriority w:val="99"/>
    <w:rsid w:val="00A0593B"/>
  </w:style>
  <w:style w:type="character" w:customStyle="1" w:styleId="in-right">
    <w:name w:val="in-right"/>
    <w:uiPriority w:val="99"/>
    <w:rsid w:val="00A0593B"/>
  </w:style>
  <w:style w:type="character" w:customStyle="1" w:styleId="lgt-spn">
    <w:name w:val="lgt-spn"/>
    <w:uiPriority w:val="99"/>
    <w:rsid w:val="00A0593B"/>
  </w:style>
  <w:style w:type="paragraph" w:customStyle="1" w:styleId="informamailtitolo">
    <w:name w:val="informamail_titolo"/>
    <w:autoRedefine/>
    <w:uiPriority w:val="99"/>
    <w:rsid w:val="008727B5"/>
    <w:pPr>
      <w:keepNext/>
      <w:jc w:val="both"/>
    </w:pPr>
    <w:rPr>
      <w:rFonts w:ascii="Trebuchet MS" w:hAnsi="Trebuchet MS" w:cs="Arial"/>
      <w:b/>
      <w:sz w:val="20"/>
      <w:szCs w:val="20"/>
    </w:rPr>
  </w:style>
  <w:style w:type="paragraph" w:customStyle="1" w:styleId="informamailtesto">
    <w:name w:val="informamail_testo"/>
    <w:autoRedefine/>
    <w:uiPriority w:val="99"/>
    <w:rsid w:val="008727B5"/>
    <w:pPr>
      <w:spacing w:before="120"/>
      <w:jc w:val="both"/>
    </w:pPr>
    <w:rPr>
      <w:rFonts w:ascii="Trebuchet MS" w:hAnsi="Trebuchet MS" w:cs="Arial"/>
      <w:sz w:val="20"/>
      <w:szCs w:val="20"/>
    </w:rPr>
  </w:style>
  <w:style w:type="character" w:customStyle="1" w:styleId="st1">
    <w:name w:val="st1"/>
    <w:uiPriority w:val="99"/>
    <w:rsid w:val="00AE7434"/>
  </w:style>
  <w:style w:type="paragraph" w:customStyle="1" w:styleId="labelstrong1">
    <w:name w:val="label_strong1"/>
    <w:basedOn w:val="Normal"/>
    <w:uiPriority w:val="99"/>
    <w:rsid w:val="00085BA0"/>
    <w:pPr>
      <w:spacing w:before="100" w:beforeAutospacing="1" w:after="100" w:afterAutospacing="1"/>
    </w:pPr>
    <w:rPr>
      <w:b/>
      <w:bCs/>
    </w:rPr>
  </w:style>
  <w:style w:type="paragraph" w:styleId="ListBullet">
    <w:name w:val="List Bullet"/>
    <w:basedOn w:val="Normal"/>
    <w:uiPriority w:val="99"/>
    <w:rsid w:val="00DA0739"/>
    <w:pPr>
      <w:numPr>
        <w:numId w:val="3"/>
      </w:numPr>
      <w:tabs>
        <w:tab w:val="clear" w:pos="360"/>
        <w:tab w:val="num" w:pos="720"/>
      </w:tabs>
      <w:spacing w:after="200" w:line="276" w:lineRule="auto"/>
      <w:ind w:left="720" w:hanging="360"/>
      <w:contextualSpacing/>
    </w:pPr>
    <w:rPr>
      <w:rFonts w:ascii="Calibri" w:hAnsi="Calibri"/>
      <w:sz w:val="22"/>
      <w:szCs w:val="22"/>
      <w:lang w:eastAsia="en-US"/>
    </w:rPr>
  </w:style>
  <w:style w:type="paragraph" w:customStyle="1" w:styleId="Interni-Titoloargomento-articolo">
    <w:name w:val="Interni - Titolo argomento-articolo"/>
    <w:basedOn w:val="Normal"/>
    <w:next w:val="Normal"/>
    <w:uiPriority w:val="99"/>
    <w:rsid w:val="00DA0739"/>
    <w:pPr>
      <w:shd w:val="clear" w:color="auto" w:fill="00968A"/>
      <w:spacing w:before="120" w:after="120"/>
      <w:jc w:val="center"/>
    </w:pPr>
    <w:rPr>
      <w:rFonts w:ascii="Trebuchet MS" w:eastAsia="MS Mincho" w:hAnsi="Trebuchet MS"/>
      <w:b/>
      <w:color w:val="FFFFFF"/>
      <w:sz w:val="34"/>
      <w:szCs w:val="22"/>
    </w:rPr>
  </w:style>
  <w:style w:type="paragraph" w:customStyle="1" w:styleId="Interni-Paragrafobase">
    <w:name w:val="Interni - Paragrafo base"/>
    <w:basedOn w:val="Normal"/>
    <w:next w:val="Normal"/>
    <w:link w:val="Interni-ParagrafobaseCarattere"/>
    <w:uiPriority w:val="99"/>
    <w:rsid w:val="00DA0739"/>
    <w:pPr>
      <w:spacing w:line="276" w:lineRule="auto"/>
      <w:ind w:left="709" w:right="284"/>
    </w:pPr>
    <w:rPr>
      <w:rFonts w:ascii="Trebuchet MS" w:eastAsia="MS Mincho" w:hAnsi="Trebuchet MS"/>
      <w:color w:val="404040"/>
      <w:sz w:val="22"/>
      <w:szCs w:val="22"/>
    </w:rPr>
  </w:style>
  <w:style w:type="paragraph" w:customStyle="1" w:styleId="Interni-abstractsezioneDaSapere">
    <w:name w:val="Interni - abstract sezione &quot;Da Sapere&quot;"/>
    <w:basedOn w:val="Normal"/>
    <w:next w:val="Normal"/>
    <w:uiPriority w:val="99"/>
    <w:rsid w:val="00DA0739"/>
    <w:pPr>
      <w:spacing w:after="160" w:line="276" w:lineRule="auto"/>
      <w:ind w:left="709" w:right="567"/>
    </w:pPr>
    <w:rPr>
      <w:rFonts w:ascii="Trebuchet MS" w:eastAsia="MS Mincho" w:hAnsi="Trebuchet MS"/>
      <w:i/>
      <w:color w:val="00968A"/>
      <w:sz w:val="22"/>
      <w:szCs w:val="21"/>
    </w:rPr>
  </w:style>
  <w:style w:type="character" w:customStyle="1" w:styleId="Interni-ParagrafobaseCarattere">
    <w:name w:val="Interni - Paragrafo base Carattere"/>
    <w:link w:val="Interni-Paragrafobase"/>
    <w:uiPriority w:val="99"/>
    <w:locked/>
    <w:rsid w:val="00DA0739"/>
    <w:rPr>
      <w:rFonts w:ascii="Trebuchet MS" w:eastAsia="MS Mincho" w:hAnsi="Trebuchet MS"/>
      <w:color w:val="404040"/>
      <w:sz w:val="22"/>
    </w:rPr>
  </w:style>
  <w:style w:type="paragraph" w:customStyle="1" w:styleId="BX-TESTO-CENTR">
    <w:name w:val="BX-TESTO-CENTR"/>
    <w:basedOn w:val="Normal"/>
    <w:uiPriority w:val="99"/>
    <w:rsid w:val="00DA0739"/>
    <w:pPr>
      <w:widowControl w:val="0"/>
      <w:tabs>
        <w:tab w:val="right" w:leader="dot" w:pos="4252"/>
        <w:tab w:val="left" w:leader="dot" w:pos="4536"/>
      </w:tabs>
      <w:autoSpaceDE w:val="0"/>
      <w:autoSpaceDN w:val="0"/>
      <w:adjustRightInd w:val="0"/>
      <w:spacing w:line="219" w:lineRule="exact"/>
      <w:ind w:left="709" w:right="284"/>
      <w:jc w:val="center"/>
    </w:pPr>
    <w:rPr>
      <w:rFonts w:ascii="Trebuchet MS" w:hAnsi="Trebuchet MS" w:cs="Arial"/>
      <w:color w:val="404040"/>
      <w:sz w:val="22"/>
    </w:rPr>
  </w:style>
  <w:style w:type="paragraph" w:customStyle="1" w:styleId="Interni-indicazioneautore">
    <w:name w:val="Interni - indicazione autore"/>
    <w:basedOn w:val="Normal"/>
    <w:next w:val="Normal"/>
    <w:uiPriority w:val="99"/>
    <w:rsid w:val="00DA0739"/>
    <w:pPr>
      <w:spacing w:before="240" w:after="480" w:line="300" w:lineRule="auto"/>
      <w:jc w:val="center"/>
    </w:pPr>
    <w:rPr>
      <w:rFonts w:ascii="Trebuchet MS" w:eastAsia="MS Mincho" w:hAnsi="Trebuchet MS"/>
      <w:i/>
      <w:color w:val="00968A"/>
      <w:szCs w:val="22"/>
    </w:rPr>
  </w:style>
  <w:style w:type="paragraph" w:customStyle="1" w:styleId="Interni-Titoloparagrafo">
    <w:name w:val="Interni - Titolo paragrafo"/>
    <w:basedOn w:val="Normal"/>
    <w:next w:val="Normal"/>
    <w:uiPriority w:val="99"/>
    <w:rsid w:val="00DA0739"/>
    <w:pPr>
      <w:pBdr>
        <w:bottom w:val="single" w:sz="6" w:space="1" w:color="404040"/>
      </w:pBdr>
      <w:spacing w:after="320"/>
    </w:pPr>
    <w:rPr>
      <w:rFonts w:ascii="Trebuchet MS" w:eastAsia="MS Mincho" w:hAnsi="Trebuchet MS"/>
      <w:color w:val="404040"/>
      <w:szCs w:val="22"/>
    </w:rPr>
  </w:style>
  <w:style w:type="paragraph" w:customStyle="1" w:styleId="tit3">
    <w:name w:val="tit3"/>
    <w:basedOn w:val="Normal"/>
    <w:autoRedefine/>
    <w:uiPriority w:val="99"/>
    <w:rsid w:val="00DA0739"/>
    <w:pPr>
      <w:numPr>
        <w:numId w:val="6"/>
      </w:numPr>
      <w:tabs>
        <w:tab w:val="left" w:pos="397"/>
        <w:tab w:val="left" w:pos="567"/>
      </w:tabs>
      <w:spacing w:before="300" w:after="80" w:line="276" w:lineRule="auto"/>
      <w:jc w:val="both"/>
    </w:pPr>
    <w:rPr>
      <w:rFonts w:ascii="Roboto" w:hAnsi="Roboto"/>
      <w:bCs/>
      <w:sz w:val="22"/>
      <w:szCs w:val="22"/>
    </w:rPr>
  </w:style>
  <w:style w:type="paragraph" w:customStyle="1" w:styleId="txpallino">
    <w:name w:val="tx_pallino"/>
    <w:basedOn w:val="Normal"/>
    <w:uiPriority w:val="99"/>
    <w:rsid w:val="00DA0739"/>
    <w:pPr>
      <w:numPr>
        <w:numId w:val="5"/>
      </w:numPr>
      <w:tabs>
        <w:tab w:val="num" w:pos="142"/>
        <w:tab w:val="left" w:pos="397"/>
      </w:tabs>
      <w:ind w:left="397" w:hanging="397"/>
      <w:jc w:val="both"/>
    </w:pPr>
    <w:rPr>
      <w:rFonts w:ascii="Asap" w:eastAsia="MS Mincho" w:hAnsi="Asap"/>
      <w:sz w:val="22"/>
      <w:szCs w:val="22"/>
    </w:rPr>
  </w:style>
  <w:style w:type="paragraph" w:customStyle="1" w:styleId="western">
    <w:name w:val="western"/>
    <w:basedOn w:val="Normal"/>
    <w:uiPriority w:val="99"/>
    <w:rsid w:val="00D25880"/>
    <w:pPr>
      <w:spacing w:before="100" w:beforeAutospacing="1" w:after="100" w:afterAutospacing="1"/>
    </w:pPr>
  </w:style>
  <w:style w:type="paragraph" w:customStyle="1" w:styleId="titolo">
    <w:name w:val="titolo"/>
    <w:basedOn w:val="Normal"/>
    <w:uiPriority w:val="99"/>
    <w:rsid w:val="006A7FD3"/>
    <w:pPr>
      <w:suppressAutoHyphens/>
      <w:autoSpaceDE w:val="0"/>
      <w:autoSpaceDN w:val="0"/>
      <w:adjustRightInd w:val="0"/>
      <w:spacing w:before="57" w:line="288" w:lineRule="auto"/>
      <w:jc w:val="center"/>
      <w:textAlignment w:val="center"/>
    </w:pPr>
    <w:rPr>
      <w:rFonts w:ascii="DIN-Medium" w:hAnsi="DIN-Medium"/>
      <w:color w:val="000000"/>
      <w:sz w:val="52"/>
      <w:szCs w:val="52"/>
    </w:rPr>
  </w:style>
  <w:style w:type="paragraph" w:customStyle="1" w:styleId="Paragrafobase">
    <w:name w:val="[Paragrafo base]"/>
    <w:basedOn w:val="Normal"/>
    <w:uiPriority w:val="99"/>
    <w:rsid w:val="006A7FD3"/>
    <w:pPr>
      <w:autoSpaceDE w:val="0"/>
      <w:autoSpaceDN w:val="0"/>
      <w:adjustRightInd w:val="0"/>
      <w:spacing w:line="288" w:lineRule="auto"/>
      <w:textAlignment w:val="center"/>
    </w:pPr>
    <w:rPr>
      <w:color w:val="000000"/>
    </w:rPr>
  </w:style>
  <w:style w:type="paragraph" w:styleId="TOC1">
    <w:name w:val="toc 1"/>
    <w:basedOn w:val="Normal"/>
    <w:next w:val="Normal"/>
    <w:autoRedefine/>
    <w:uiPriority w:val="99"/>
    <w:rsid w:val="00770663"/>
    <w:rPr>
      <w:rFonts w:ascii="Tahoma" w:hAnsi="Tahoma"/>
      <w:color w:val="C00000"/>
      <w:sz w:val="36"/>
      <w:szCs w:val="20"/>
    </w:rPr>
  </w:style>
  <w:style w:type="paragraph" w:styleId="TOC2">
    <w:name w:val="toc 2"/>
    <w:basedOn w:val="Normal"/>
    <w:next w:val="Normal"/>
    <w:autoRedefine/>
    <w:uiPriority w:val="99"/>
    <w:rsid w:val="006265AE"/>
    <w:pPr>
      <w:tabs>
        <w:tab w:val="right" w:leader="dot" w:pos="9628"/>
      </w:tabs>
      <w:ind w:left="280"/>
    </w:pPr>
    <w:rPr>
      <w:noProof/>
      <w:color w:val="000000"/>
    </w:rPr>
  </w:style>
  <w:style w:type="paragraph" w:styleId="TOC3">
    <w:name w:val="toc 3"/>
    <w:basedOn w:val="Normal"/>
    <w:next w:val="Normal"/>
    <w:autoRedefine/>
    <w:uiPriority w:val="99"/>
    <w:rsid w:val="006F6854"/>
    <w:pPr>
      <w:ind w:left="560"/>
    </w:pPr>
  </w:style>
  <w:style w:type="paragraph" w:styleId="TOCHeading">
    <w:name w:val="TOC Heading"/>
    <w:basedOn w:val="Heading1"/>
    <w:next w:val="Normal"/>
    <w:uiPriority w:val="99"/>
    <w:qFormat/>
    <w:rsid w:val="006265AE"/>
    <w:pPr>
      <w:keepLines/>
      <w:spacing w:before="480" w:line="276" w:lineRule="auto"/>
      <w:jc w:val="left"/>
      <w:outlineLvl w:val="9"/>
    </w:pPr>
    <w:rPr>
      <w:rFonts w:ascii="Cambria" w:hAnsi="Cambria"/>
      <w:bCs/>
      <w:color w:val="365F91"/>
      <w:sz w:val="28"/>
      <w:szCs w:val="28"/>
    </w:rPr>
  </w:style>
  <w:style w:type="paragraph" w:styleId="BodyText">
    <w:name w:val="Body Text"/>
    <w:basedOn w:val="Normal"/>
    <w:link w:val="BodyTextChar"/>
    <w:uiPriority w:val="99"/>
    <w:rsid w:val="00D304A4"/>
    <w:pPr>
      <w:spacing w:after="120"/>
    </w:pPr>
  </w:style>
  <w:style w:type="character" w:customStyle="1" w:styleId="BodyTextChar">
    <w:name w:val="Body Text Char"/>
    <w:basedOn w:val="DefaultParagraphFont"/>
    <w:link w:val="BodyText"/>
    <w:uiPriority w:val="99"/>
    <w:locked/>
    <w:rsid w:val="00D304A4"/>
    <w:rPr>
      <w:rFonts w:cs="Times New Roman"/>
      <w:sz w:val="28"/>
    </w:rPr>
  </w:style>
  <w:style w:type="character" w:customStyle="1" w:styleId="day">
    <w:name w:val="day"/>
    <w:basedOn w:val="DefaultParagraphFont"/>
    <w:uiPriority w:val="99"/>
    <w:rsid w:val="00475E89"/>
    <w:rPr>
      <w:rFonts w:cs="Times New Roman"/>
    </w:rPr>
  </w:style>
  <w:style w:type="character" w:customStyle="1" w:styleId="month">
    <w:name w:val="month"/>
    <w:basedOn w:val="DefaultParagraphFont"/>
    <w:uiPriority w:val="99"/>
    <w:rsid w:val="00475E89"/>
    <w:rPr>
      <w:rFonts w:cs="Times New Roman"/>
    </w:rPr>
  </w:style>
  <w:style w:type="character" w:customStyle="1" w:styleId="year">
    <w:name w:val="year"/>
    <w:basedOn w:val="DefaultParagraphFont"/>
    <w:uiPriority w:val="99"/>
    <w:rsid w:val="00475E89"/>
    <w:rPr>
      <w:rFonts w:cs="Times New Roman"/>
    </w:rPr>
  </w:style>
  <w:style w:type="paragraph" w:customStyle="1" w:styleId="firstpdettscad">
    <w:name w:val="first_p_dett_scad"/>
    <w:basedOn w:val="Normal"/>
    <w:uiPriority w:val="99"/>
    <w:rsid w:val="00475E89"/>
    <w:pPr>
      <w:spacing w:before="100" w:beforeAutospacing="1" w:after="100" w:afterAutospacing="1"/>
    </w:pPr>
  </w:style>
  <w:style w:type="character" w:customStyle="1" w:styleId="labelstrong">
    <w:name w:val="label_strong"/>
    <w:basedOn w:val="DefaultParagraphFont"/>
    <w:uiPriority w:val="99"/>
    <w:rsid w:val="00475E89"/>
    <w:rPr>
      <w:rFonts w:cs="Times New Roman"/>
    </w:rPr>
  </w:style>
  <w:style w:type="character" w:customStyle="1" w:styleId="Menzione1">
    <w:name w:val="Menzione1"/>
    <w:basedOn w:val="DefaultParagraphFont"/>
    <w:uiPriority w:val="99"/>
    <w:semiHidden/>
    <w:rsid w:val="00312422"/>
    <w:rPr>
      <w:rFonts w:cs="Times New Roman"/>
      <w:color w:val="2B579A"/>
      <w:shd w:val="clear" w:color="auto" w:fill="E6E6E6"/>
    </w:rPr>
  </w:style>
  <w:style w:type="character" w:customStyle="1" w:styleId="Menzionenonrisolta1">
    <w:name w:val="Menzione non risolta1"/>
    <w:basedOn w:val="DefaultParagraphFont"/>
    <w:uiPriority w:val="99"/>
    <w:semiHidden/>
    <w:rsid w:val="007B1BF0"/>
    <w:rPr>
      <w:rFonts w:cs="Times New Roman"/>
      <w:color w:val="808080"/>
      <w:shd w:val="clear" w:color="auto" w:fill="E6E6E6"/>
    </w:rPr>
  </w:style>
  <w:style w:type="character" w:styleId="IntenseReference">
    <w:name w:val="Intense Reference"/>
    <w:basedOn w:val="DefaultParagraphFont"/>
    <w:uiPriority w:val="99"/>
    <w:qFormat/>
    <w:rsid w:val="00664FE0"/>
    <w:rPr>
      <w:rFonts w:cs="Times New Roman"/>
      <w:b/>
      <w:bCs/>
      <w:smallCaps/>
      <w:color w:val="4F81BD"/>
      <w:spacing w:val="5"/>
    </w:rPr>
  </w:style>
  <w:style w:type="character" w:styleId="SubtleReference">
    <w:name w:val="Subtle Reference"/>
    <w:basedOn w:val="DefaultParagraphFont"/>
    <w:uiPriority w:val="99"/>
    <w:qFormat/>
    <w:rsid w:val="00D47FBC"/>
    <w:rPr>
      <w:rFonts w:cs="Times New Roman"/>
      <w:smallCaps/>
      <w:color w:val="5A5A5A"/>
    </w:rPr>
  </w:style>
  <w:style w:type="character" w:styleId="IntenseEmphasis">
    <w:name w:val="Intense Emphasis"/>
    <w:basedOn w:val="DefaultParagraphFont"/>
    <w:uiPriority w:val="99"/>
    <w:qFormat/>
    <w:rsid w:val="00D47FBC"/>
    <w:rPr>
      <w:rFonts w:cs="Times New Roman"/>
      <w:i/>
      <w:iCs/>
      <w:color w:val="4F81BD"/>
    </w:rPr>
  </w:style>
  <w:style w:type="character" w:customStyle="1" w:styleId="UnresolvedMention">
    <w:name w:val="Unresolved Mention"/>
    <w:basedOn w:val="DefaultParagraphFont"/>
    <w:uiPriority w:val="99"/>
    <w:semiHidden/>
    <w:rsid w:val="00EC1B8A"/>
    <w:rPr>
      <w:rFonts w:cs="Times New Roman"/>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57352502">
      <w:marLeft w:val="0"/>
      <w:marRight w:val="0"/>
      <w:marTop w:val="0"/>
      <w:marBottom w:val="0"/>
      <w:divBdr>
        <w:top w:val="none" w:sz="0" w:space="0" w:color="auto"/>
        <w:left w:val="none" w:sz="0" w:space="0" w:color="auto"/>
        <w:bottom w:val="none" w:sz="0" w:space="0" w:color="auto"/>
        <w:right w:val="none" w:sz="0" w:space="0" w:color="auto"/>
      </w:divBdr>
    </w:div>
    <w:div w:id="157352503">
      <w:marLeft w:val="0"/>
      <w:marRight w:val="0"/>
      <w:marTop w:val="0"/>
      <w:marBottom w:val="0"/>
      <w:divBdr>
        <w:top w:val="none" w:sz="0" w:space="0" w:color="auto"/>
        <w:left w:val="none" w:sz="0" w:space="0" w:color="auto"/>
        <w:bottom w:val="none" w:sz="0" w:space="0" w:color="auto"/>
        <w:right w:val="none" w:sz="0" w:space="0" w:color="auto"/>
      </w:divBdr>
    </w:div>
    <w:div w:id="157352504">
      <w:marLeft w:val="0"/>
      <w:marRight w:val="0"/>
      <w:marTop w:val="0"/>
      <w:marBottom w:val="0"/>
      <w:divBdr>
        <w:top w:val="none" w:sz="0" w:space="0" w:color="auto"/>
        <w:left w:val="none" w:sz="0" w:space="0" w:color="auto"/>
        <w:bottom w:val="none" w:sz="0" w:space="0" w:color="auto"/>
        <w:right w:val="none" w:sz="0" w:space="0" w:color="auto"/>
      </w:divBdr>
    </w:div>
    <w:div w:id="157352506">
      <w:marLeft w:val="0"/>
      <w:marRight w:val="0"/>
      <w:marTop w:val="0"/>
      <w:marBottom w:val="0"/>
      <w:divBdr>
        <w:top w:val="none" w:sz="0" w:space="0" w:color="auto"/>
        <w:left w:val="none" w:sz="0" w:space="0" w:color="auto"/>
        <w:bottom w:val="none" w:sz="0" w:space="0" w:color="auto"/>
        <w:right w:val="none" w:sz="0" w:space="0" w:color="auto"/>
      </w:divBdr>
      <w:divsChild>
        <w:div w:id="157352717">
          <w:marLeft w:val="0"/>
          <w:marRight w:val="0"/>
          <w:marTop w:val="0"/>
          <w:marBottom w:val="0"/>
          <w:divBdr>
            <w:top w:val="none" w:sz="0" w:space="0" w:color="auto"/>
            <w:left w:val="none" w:sz="0" w:space="0" w:color="auto"/>
            <w:bottom w:val="none" w:sz="0" w:space="0" w:color="auto"/>
            <w:right w:val="none" w:sz="0" w:space="0" w:color="auto"/>
          </w:divBdr>
          <w:divsChild>
            <w:div w:id="157352697">
              <w:marLeft w:val="0"/>
              <w:marRight w:val="0"/>
              <w:marTop w:val="0"/>
              <w:marBottom w:val="150"/>
              <w:divBdr>
                <w:top w:val="none" w:sz="0" w:space="0" w:color="auto"/>
                <w:left w:val="none" w:sz="0" w:space="0" w:color="auto"/>
                <w:bottom w:val="none" w:sz="0" w:space="0" w:color="auto"/>
                <w:right w:val="none" w:sz="0" w:space="0" w:color="auto"/>
              </w:divBdr>
              <w:divsChild>
                <w:div w:id="1573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507">
      <w:marLeft w:val="0"/>
      <w:marRight w:val="0"/>
      <w:marTop w:val="0"/>
      <w:marBottom w:val="0"/>
      <w:divBdr>
        <w:top w:val="none" w:sz="0" w:space="0" w:color="auto"/>
        <w:left w:val="none" w:sz="0" w:space="0" w:color="auto"/>
        <w:bottom w:val="none" w:sz="0" w:space="0" w:color="auto"/>
        <w:right w:val="none" w:sz="0" w:space="0" w:color="auto"/>
      </w:divBdr>
    </w:div>
    <w:div w:id="157352508">
      <w:marLeft w:val="0"/>
      <w:marRight w:val="0"/>
      <w:marTop w:val="0"/>
      <w:marBottom w:val="0"/>
      <w:divBdr>
        <w:top w:val="none" w:sz="0" w:space="0" w:color="auto"/>
        <w:left w:val="none" w:sz="0" w:space="0" w:color="auto"/>
        <w:bottom w:val="none" w:sz="0" w:space="0" w:color="auto"/>
        <w:right w:val="none" w:sz="0" w:space="0" w:color="auto"/>
      </w:divBdr>
      <w:divsChild>
        <w:div w:id="157353195">
          <w:marLeft w:val="0"/>
          <w:marRight w:val="0"/>
          <w:marTop w:val="0"/>
          <w:marBottom w:val="150"/>
          <w:divBdr>
            <w:top w:val="single" w:sz="6" w:space="12" w:color="C9C9C9"/>
            <w:left w:val="single" w:sz="6" w:space="12" w:color="C9C9C9"/>
            <w:bottom w:val="single" w:sz="6" w:space="12" w:color="C9C9C9"/>
            <w:right w:val="single" w:sz="6" w:space="12" w:color="C9C9C9"/>
          </w:divBdr>
          <w:divsChild>
            <w:div w:id="157353124">
              <w:marLeft w:val="0"/>
              <w:marRight w:val="180"/>
              <w:marTop w:val="0"/>
              <w:marBottom w:val="0"/>
              <w:divBdr>
                <w:top w:val="none" w:sz="0" w:space="0" w:color="auto"/>
                <w:left w:val="none" w:sz="0" w:space="0" w:color="auto"/>
                <w:bottom w:val="none" w:sz="0" w:space="0" w:color="auto"/>
                <w:right w:val="none" w:sz="0" w:space="0" w:color="auto"/>
              </w:divBdr>
              <w:divsChild>
                <w:div w:id="157352573">
                  <w:marLeft w:val="0"/>
                  <w:marRight w:val="0"/>
                  <w:marTop w:val="0"/>
                  <w:marBottom w:val="300"/>
                  <w:divBdr>
                    <w:top w:val="none" w:sz="0" w:space="0" w:color="auto"/>
                    <w:left w:val="none" w:sz="0" w:space="0" w:color="auto"/>
                    <w:bottom w:val="none" w:sz="0" w:space="0" w:color="auto"/>
                    <w:right w:val="none" w:sz="0" w:space="0" w:color="auto"/>
                  </w:divBdr>
                  <w:divsChild>
                    <w:div w:id="157353105">
                      <w:marLeft w:val="0"/>
                      <w:marRight w:val="0"/>
                      <w:marTop w:val="0"/>
                      <w:marBottom w:val="0"/>
                      <w:divBdr>
                        <w:top w:val="none" w:sz="0" w:space="0" w:color="auto"/>
                        <w:left w:val="none" w:sz="0" w:space="0" w:color="auto"/>
                        <w:bottom w:val="dotted" w:sz="6" w:space="4" w:color="B2B2B2"/>
                        <w:right w:val="none" w:sz="0" w:space="0" w:color="auto"/>
                      </w:divBdr>
                    </w:div>
                  </w:divsChild>
                </w:div>
              </w:divsChild>
            </w:div>
          </w:divsChild>
        </w:div>
      </w:divsChild>
    </w:div>
    <w:div w:id="157352511">
      <w:marLeft w:val="0"/>
      <w:marRight w:val="0"/>
      <w:marTop w:val="0"/>
      <w:marBottom w:val="0"/>
      <w:divBdr>
        <w:top w:val="none" w:sz="0" w:space="0" w:color="auto"/>
        <w:left w:val="none" w:sz="0" w:space="0" w:color="auto"/>
        <w:bottom w:val="none" w:sz="0" w:space="0" w:color="auto"/>
        <w:right w:val="none" w:sz="0" w:space="0" w:color="auto"/>
      </w:divBdr>
    </w:div>
    <w:div w:id="157352514">
      <w:marLeft w:val="0"/>
      <w:marRight w:val="0"/>
      <w:marTop w:val="0"/>
      <w:marBottom w:val="0"/>
      <w:divBdr>
        <w:top w:val="none" w:sz="0" w:space="0" w:color="auto"/>
        <w:left w:val="none" w:sz="0" w:space="0" w:color="auto"/>
        <w:bottom w:val="none" w:sz="0" w:space="0" w:color="auto"/>
        <w:right w:val="none" w:sz="0" w:space="0" w:color="auto"/>
      </w:divBdr>
      <w:divsChild>
        <w:div w:id="157353304">
          <w:marLeft w:val="0"/>
          <w:marRight w:val="0"/>
          <w:marTop w:val="0"/>
          <w:marBottom w:val="0"/>
          <w:divBdr>
            <w:top w:val="none" w:sz="0" w:space="0" w:color="auto"/>
            <w:left w:val="none" w:sz="0" w:space="0" w:color="auto"/>
            <w:bottom w:val="none" w:sz="0" w:space="0" w:color="auto"/>
            <w:right w:val="none" w:sz="0" w:space="0" w:color="auto"/>
          </w:divBdr>
          <w:divsChild>
            <w:div w:id="157353308">
              <w:marLeft w:val="0"/>
              <w:marRight w:val="0"/>
              <w:marTop w:val="0"/>
              <w:marBottom w:val="150"/>
              <w:divBdr>
                <w:top w:val="none" w:sz="0" w:space="0" w:color="auto"/>
                <w:left w:val="none" w:sz="0" w:space="0" w:color="auto"/>
                <w:bottom w:val="none" w:sz="0" w:space="0" w:color="auto"/>
                <w:right w:val="none" w:sz="0" w:space="0" w:color="auto"/>
              </w:divBdr>
              <w:divsChild>
                <w:div w:id="157353336">
                  <w:marLeft w:val="0"/>
                  <w:marRight w:val="0"/>
                  <w:marTop w:val="0"/>
                  <w:marBottom w:val="0"/>
                  <w:divBdr>
                    <w:top w:val="none" w:sz="0" w:space="0" w:color="auto"/>
                    <w:left w:val="none" w:sz="0" w:space="0" w:color="auto"/>
                    <w:bottom w:val="none" w:sz="0" w:space="0" w:color="auto"/>
                    <w:right w:val="none" w:sz="0" w:space="0" w:color="auto"/>
                  </w:divBdr>
                  <w:divsChild>
                    <w:div w:id="157352863">
                      <w:marLeft w:val="0"/>
                      <w:marRight w:val="0"/>
                      <w:marTop w:val="0"/>
                      <w:marBottom w:val="0"/>
                      <w:divBdr>
                        <w:top w:val="none" w:sz="0" w:space="0" w:color="auto"/>
                        <w:left w:val="none" w:sz="0" w:space="0" w:color="auto"/>
                        <w:bottom w:val="none" w:sz="0" w:space="0" w:color="auto"/>
                        <w:right w:val="none" w:sz="0" w:space="0" w:color="auto"/>
                      </w:divBdr>
                      <w:divsChild>
                        <w:div w:id="1573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2521">
      <w:marLeft w:val="0"/>
      <w:marRight w:val="0"/>
      <w:marTop w:val="0"/>
      <w:marBottom w:val="0"/>
      <w:divBdr>
        <w:top w:val="none" w:sz="0" w:space="0" w:color="auto"/>
        <w:left w:val="none" w:sz="0" w:space="0" w:color="auto"/>
        <w:bottom w:val="none" w:sz="0" w:space="0" w:color="auto"/>
        <w:right w:val="none" w:sz="0" w:space="0" w:color="auto"/>
      </w:divBdr>
    </w:div>
    <w:div w:id="157352526">
      <w:marLeft w:val="0"/>
      <w:marRight w:val="0"/>
      <w:marTop w:val="0"/>
      <w:marBottom w:val="0"/>
      <w:divBdr>
        <w:top w:val="none" w:sz="0" w:space="0" w:color="auto"/>
        <w:left w:val="none" w:sz="0" w:space="0" w:color="auto"/>
        <w:bottom w:val="none" w:sz="0" w:space="0" w:color="auto"/>
        <w:right w:val="none" w:sz="0" w:space="0" w:color="auto"/>
      </w:divBdr>
      <w:divsChild>
        <w:div w:id="157353192">
          <w:marLeft w:val="0"/>
          <w:marRight w:val="0"/>
          <w:marTop w:val="300"/>
          <w:marBottom w:val="750"/>
          <w:divBdr>
            <w:top w:val="single" w:sz="6" w:space="11" w:color="BBBBBB"/>
            <w:left w:val="single" w:sz="6" w:space="15" w:color="BBBBBB"/>
            <w:bottom w:val="single" w:sz="6" w:space="11" w:color="BBBBBB"/>
            <w:right w:val="single" w:sz="6" w:space="0" w:color="BBBBBB"/>
          </w:divBdr>
          <w:divsChild>
            <w:div w:id="157352968">
              <w:marLeft w:val="0"/>
              <w:marRight w:val="0"/>
              <w:marTop w:val="0"/>
              <w:marBottom w:val="0"/>
              <w:divBdr>
                <w:top w:val="none" w:sz="0" w:space="0" w:color="auto"/>
                <w:left w:val="single" w:sz="6" w:space="6" w:color="BBBBBB"/>
                <w:bottom w:val="single" w:sz="6" w:space="6" w:color="BBBBBB"/>
                <w:right w:val="single" w:sz="18" w:space="0" w:color="FFFFFF"/>
              </w:divBdr>
            </w:div>
          </w:divsChild>
        </w:div>
      </w:divsChild>
    </w:div>
    <w:div w:id="157352528">
      <w:marLeft w:val="0"/>
      <w:marRight w:val="0"/>
      <w:marTop w:val="0"/>
      <w:marBottom w:val="0"/>
      <w:divBdr>
        <w:top w:val="none" w:sz="0" w:space="0" w:color="auto"/>
        <w:left w:val="none" w:sz="0" w:space="0" w:color="auto"/>
        <w:bottom w:val="none" w:sz="0" w:space="0" w:color="auto"/>
        <w:right w:val="none" w:sz="0" w:space="0" w:color="auto"/>
      </w:divBdr>
      <w:divsChild>
        <w:div w:id="157353165">
          <w:marLeft w:val="0"/>
          <w:marRight w:val="0"/>
          <w:marTop w:val="0"/>
          <w:marBottom w:val="0"/>
          <w:divBdr>
            <w:top w:val="none" w:sz="0" w:space="0" w:color="auto"/>
            <w:left w:val="none" w:sz="0" w:space="0" w:color="auto"/>
            <w:bottom w:val="none" w:sz="0" w:space="0" w:color="auto"/>
            <w:right w:val="none" w:sz="0" w:space="0" w:color="auto"/>
          </w:divBdr>
          <w:divsChild>
            <w:div w:id="157352524">
              <w:marLeft w:val="0"/>
              <w:marRight w:val="0"/>
              <w:marTop w:val="0"/>
              <w:marBottom w:val="150"/>
              <w:divBdr>
                <w:top w:val="none" w:sz="0" w:space="0" w:color="auto"/>
                <w:left w:val="none" w:sz="0" w:space="0" w:color="auto"/>
                <w:bottom w:val="none" w:sz="0" w:space="0" w:color="auto"/>
                <w:right w:val="none" w:sz="0" w:space="0" w:color="auto"/>
              </w:divBdr>
              <w:divsChild>
                <w:div w:id="157352552">
                  <w:marLeft w:val="0"/>
                  <w:marRight w:val="0"/>
                  <w:marTop w:val="0"/>
                  <w:marBottom w:val="0"/>
                  <w:divBdr>
                    <w:top w:val="none" w:sz="0" w:space="0" w:color="auto"/>
                    <w:left w:val="none" w:sz="0" w:space="0" w:color="auto"/>
                    <w:bottom w:val="none" w:sz="0" w:space="0" w:color="auto"/>
                    <w:right w:val="none" w:sz="0" w:space="0" w:color="auto"/>
                  </w:divBdr>
                  <w:divsChild>
                    <w:div w:id="157352867">
                      <w:marLeft w:val="0"/>
                      <w:marRight w:val="0"/>
                      <w:marTop w:val="0"/>
                      <w:marBottom w:val="0"/>
                      <w:divBdr>
                        <w:top w:val="none" w:sz="0" w:space="0" w:color="auto"/>
                        <w:left w:val="none" w:sz="0" w:space="0" w:color="auto"/>
                        <w:bottom w:val="none" w:sz="0" w:space="0" w:color="auto"/>
                        <w:right w:val="none" w:sz="0" w:space="0" w:color="auto"/>
                      </w:divBdr>
                      <w:divsChild>
                        <w:div w:id="1573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2529">
      <w:marLeft w:val="0"/>
      <w:marRight w:val="0"/>
      <w:marTop w:val="0"/>
      <w:marBottom w:val="0"/>
      <w:divBdr>
        <w:top w:val="none" w:sz="0" w:space="0" w:color="auto"/>
        <w:left w:val="none" w:sz="0" w:space="0" w:color="auto"/>
        <w:bottom w:val="none" w:sz="0" w:space="0" w:color="auto"/>
        <w:right w:val="none" w:sz="0" w:space="0" w:color="auto"/>
      </w:divBdr>
    </w:div>
    <w:div w:id="157352532">
      <w:marLeft w:val="0"/>
      <w:marRight w:val="0"/>
      <w:marTop w:val="0"/>
      <w:marBottom w:val="0"/>
      <w:divBdr>
        <w:top w:val="none" w:sz="0" w:space="0" w:color="auto"/>
        <w:left w:val="none" w:sz="0" w:space="0" w:color="auto"/>
        <w:bottom w:val="none" w:sz="0" w:space="0" w:color="auto"/>
        <w:right w:val="none" w:sz="0" w:space="0" w:color="auto"/>
      </w:divBdr>
    </w:div>
    <w:div w:id="157352533">
      <w:marLeft w:val="0"/>
      <w:marRight w:val="0"/>
      <w:marTop w:val="0"/>
      <w:marBottom w:val="0"/>
      <w:divBdr>
        <w:top w:val="none" w:sz="0" w:space="0" w:color="auto"/>
        <w:left w:val="none" w:sz="0" w:space="0" w:color="auto"/>
        <w:bottom w:val="none" w:sz="0" w:space="0" w:color="auto"/>
        <w:right w:val="none" w:sz="0" w:space="0" w:color="auto"/>
      </w:divBdr>
      <w:divsChild>
        <w:div w:id="157352737">
          <w:marLeft w:val="0"/>
          <w:marRight w:val="0"/>
          <w:marTop w:val="0"/>
          <w:marBottom w:val="0"/>
          <w:divBdr>
            <w:top w:val="none" w:sz="0" w:space="0" w:color="auto"/>
            <w:left w:val="none" w:sz="0" w:space="0" w:color="auto"/>
            <w:bottom w:val="none" w:sz="0" w:space="0" w:color="auto"/>
            <w:right w:val="none" w:sz="0" w:space="0" w:color="auto"/>
          </w:divBdr>
          <w:divsChild>
            <w:div w:id="157353267">
              <w:marLeft w:val="0"/>
              <w:marRight w:val="0"/>
              <w:marTop w:val="0"/>
              <w:marBottom w:val="0"/>
              <w:divBdr>
                <w:top w:val="none" w:sz="0" w:space="0" w:color="auto"/>
                <w:left w:val="none" w:sz="0" w:space="0" w:color="auto"/>
                <w:bottom w:val="none" w:sz="0" w:space="0" w:color="auto"/>
                <w:right w:val="none" w:sz="0" w:space="0" w:color="auto"/>
              </w:divBdr>
              <w:divsChild>
                <w:div w:id="157353350">
                  <w:marLeft w:val="0"/>
                  <w:marRight w:val="0"/>
                  <w:marTop w:val="0"/>
                  <w:marBottom w:val="0"/>
                  <w:divBdr>
                    <w:top w:val="none" w:sz="0" w:space="0" w:color="auto"/>
                    <w:left w:val="none" w:sz="0" w:space="0" w:color="auto"/>
                    <w:bottom w:val="none" w:sz="0" w:space="0" w:color="auto"/>
                    <w:right w:val="none" w:sz="0" w:space="0" w:color="auto"/>
                  </w:divBdr>
                  <w:divsChild>
                    <w:div w:id="157352858">
                      <w:marLeft w:val="0"/>
                      <w:marRight w:val="0"/>
                      <w:marTop w:val="0"/>
                      <w:marBottom w:val="0"/>
                      <w:divBdr>
                        <w:top w:val="none" w:sz="0" w:space="0" w:color="auto"/>
                        <w:left w:val="none" w:sz="0" w:space="0" w:color="auto"/>
                        <w:bottom w:val="none" w:sz="0" w:space="0" w:color="auto"/>
                        <w:right w:val="none" w:sz="0" w:space="0" w:color="auto"/>
                      </w:divBdr>
                      <w:divsChild>
                        <w:div w:id="157353275">
                          <w:marLeft w:val="0"/>
                          <w:marRight w:val="0"/>
                          <w:marTop w:val="0"/>
                          <w:marBottom w:val="0"/>
                          <w:divBdr>
                            <w:top w:val="none" w:sz="0" w:space="0" w:color="auto"/>
                            <w:left w:val="none" w:sz="0" w:space="0" w:color="auto"/>
                            <w:bottom w:val="none" w:sz="0" w:space="0" w:color="auto"/>
                            <w:right w:val="none" w:sz="0" w:space="0" w:color="auto"/>
                          </w:divBdr>
                          <w:divsChild>
                            <w:div w:id="157353206">
                              <w:marLeft w:val="0"/>
                              <w:marRight w:val="0"/>
                              <w:marTop w:val="0"/>
                              <w:marBottom w:val="300"/>
                              <w:divBdr>
                                <w:top w:val="none" w:sz="0" w:space="0" w:color="auto"/>
                                <w:left w:val="none" w:sz="0" w:space="0" w:color="auto"/>
                                <w:bottom w:val="none" w:sz="0" w:space="0" w:color="auto"/>
                                <w:right w:val="none" w:sz="0" w:space="0" w:color="auto"/>
                              </w:divBdr>
                              <w:divsChild>
                                <w:div w:id="157352900">
                                  <w:marLeft w:val="0"/>
                                  <w:marRight w:val="0"/>
                                  <w:marTop w:val="0"/>
                                  <w:marBottom w:val="0"/>
                                  <w:divBdr>
                                    <w:top w:val="none" w:sz="0" w:space="0" w:color="auto"/>
                                    <w:left w:val="none" w:sz="0" w:space="0" w:color="auto"/>
                                    <w:bottom w:val="none" w:sz="0" w:space="0" w:color="auto"/>
                                    <w:right w:val="none" w:sz="0" w:space="0" w:color="auto"/>
                                  </w:divBdr>
                                  <w:divsChild>
                                    <w:div w:id="157352874">
                                      <w:marLeft w:val="0"/>
                                      <w:marRight w:val="0"/>
                                      <w:marTop w:val="0"/>
                                      <w:marBottom w:val="0"/>
                                      <w:divBdr>
                                        <w:top w:val="none" w:sz="0" w:space="0" w:color="auto"/>
                                        <w:left w:val="none" w:sz="0" w:space="0" w:color="auto"/>
                                        <w:bottom w:val="none" w:sz="0" w:space="0" w:color="auto"/>
                                        <w:right w:val="none" w:sz="0" w:space="0" w:color="auto"/>
                                      </w:divBdr>
                                      <w:divsChild>
                                        <w:div w:id="157353007">
                                          <w:marLeft w:val="0"/>
                                          <w:marRight w:val="0"/>
                                          <w:marTop w:val="0"/>
                                          <w:marBottom w:val="0"/>
                                          <w:divBdr>
                                            <w:top w:val="none" w:sz="0" w:space="0" w:color="auto"/>
                                            <w:left w:val="none" w:sz="0" w:space="0" w:color="auto"/>
                                            <w:bottom w:val="none" w:sz="0" w:space="0" w:color="auto"/>
                                            <w:right w:val="none" w:sz="0" w:space="0" w:color="auto"/>
                                          </w:divBdr>
                                          <w:divsChild>
                                            <w:div w:id="157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52539">
      <w:marLeft w:val="0"/>
      <w:marRight w:val="0"/>
      <w:marTop w:val="0"/>
      <w:marBottom w:val="0"/>
      <w:divBdr>
        <w:top w:val="none" w:sz="0" w:space="0" w:color="auto"/>
        <w:left w:val="none" w:sz="0" w:space="0" w:color="auto"/>
        <w:bottom w:val="none" w:sz="0" w:space="0" w:color="auto"/>
        <w:right w:val="none" w:sz="0" w:space="0" w:color="auto"/>
      </w:divBdr>
      <w:divsChild>
        <w:div w:id="157353367">
          <w:marLeft w:val="0"/>
          <w:marRight w:val="0"/>
          <w:marTop w:val="0"/>
          <w:marBottom w:val="0"/>
          <w:divBdr>
            <w:top w:val="none" w:sz="0" w:space="0" w:color="auto"/>
            <w:left w:val="none" w:sz="0" w:space="0" w:color="auto"/>
            <w:bottom w:val="none" w:sz="0" w:space="0" w:color="auto"/>
            <w:right w:val="none" w:sz="0" w:space="0" w:color="auto"/>
          </w:divBdr>
          <w:divsChild>
            <w:div w:id="157352535">
              <w:marLeft w:val="0"/>
              <w:marRight w:val="0"/>
              <w:marTop w:val="0"/>
              <w:marBottom w:val="0"/>
              <w:divBdr>
                <w:top w:val="none" w:sz="0" w:space="0" w:color="auto"/>
                <w:left w:val="none" w:sz="0" w:space="0" w:color="auto"/>
                <w:bottom w:val="none" w:sz="0" w:space="0" w:color="auto"/>
                <w:right w:val="none" w:sz="0" w:space="0" w:color="auto"/>
              </w:divBdr>
              <w:divsChild>
                <w:div w:id="157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542">
      <w:marLeft w:val="0"/>
      <w:marRight w:val="0"/>
      <w:marTop w:val="0"/>
      <w:marBottom w:val="0"/>
      <w:divBdr>
        <w:top w:val="none" w:sz="0" w:space="0" w:color="auto"/>
        <w:left w:val="none" w:sz="0" w:space="0" w:color="auto"/>
        <w:bottom w:val="none" w:sz="0" w:space="0" w:color="auto"/>
        <w:right w:val="none" w:sz="0" w:space="0" w:color="auto"/>
      </w:divBdr>
    </w:div>
    <w:div w:id="157352543">
      <w:marLeft w:val="0"/>
      <w:marRight w:val="0"/>
      <w:marTop w:val="0"/>
      <w:marBottom w:val="0"/>
      <w:divBdr>
        <w:top w:val="none" w:sz="0" w:space="0" w:color="auto"/>
        <w:left w:val="none" w:sz="0" w:space="0" w:color="auto"/>
        <w:bottom w:val="none" w:sz="0" w:space="0" w:color="auto"/>
        <w:right w:val="none" w:sz="0" w:space="0" w:color="auto"/>
      </w:divBdr>
    </w:div>
    <w:div w:id="157352544">
      <w:marLeft w:val="0"/>
      <w:marRight w:val="0"/>
      <w:marTop w:val="0"/>
      <w:marBottom w:val="0"/>
      <w:divBdr>
        <w:top w:val="none" w:sz="0" w:space="0" w:color="auto"/>
        <w:left w:val="none" w:sz="0" w:space="0" w:color="auto"/>
        <w:bottom w:val="none" w:sz="0" w:space="0" w:color="auto"/>
        <w:right w:val="none" w:sz="0" w:space="0" w:color="auto"/>
      </w:divBdr>
      <w:divsChild>
        <w:div w:id="157353089">
          <w:marLeft w:val="0"/>
          <w:marRight w:val="0"/>
          <w:marTop w:val="0"/>
          <w:marBottom w:val="0"/>
          <w:divBdr>
            <w:top w:val="none" w:sz="0" w:space="0" w:color="auto"/>
            <w:left w:val="none" w:sz="0" w:space="0" w:color="auto"/>
            <w:bottom w:val="none" w:sz="0" w:space="0" w:color="auto"/>
            <w:right w:val="none" w:sz="0" w:space="0" w:color="auto"/>
          </w:divBdr>
          <w:divsChild>
            <w:div w:id="157352764">
              <w:marLeft w:val="0"/>
              <w:marRight w:val="0"/>
              <w:marTop w:val="0"/>
              <w:marBottom w:val="150"/>
              <w:divBdr>
                <w:top w:val="none" w:sz="0" w:space="0" w:color="auto"/>
                <w:left w:val="none" w:sz="0" w:space="0" w:color="auto"/>
                <w:bottom w:val="none" w:sz="0" w:space="0" w:color="auto"/>
                <w:right w:val="none" w:sz="0" w:space="0" w:color="auto"/>
              </w:divBdr>
              <w:divsChild>
                <w:div w:id="1573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549">
      <w:marLeft w:val="0"/>
      <w:marRight w:val="0"/>
      <w:marTop w:val="0"/>
      <w:marBottom w:val="0"/>
      <w:divBdr>
        <w:top w:val="none" w:sz="0" w:space="0" w:color="auto"/>
        <w:left w:val="none" w:sz="0" w:space="0" w:color="auto"/>
        <w:bottom w:val="none" w:sz="0" w:space="0" w:color="auto"/>
        <w:right w:val="none" w:sz="0" w:space="0" w:color="auto"/>
      </w:divBdr>
    </w:div>
    <w:div w:id="157352555">
      <w:marLeft w:val="0"/>
      <w:marRight w:val="0"/>
      <w:marTop w:val="0"/>
      <w:marBottom w:val="0"/>
      <w:divBdr>
        <w:top w:val="none" w:sz="0" w:space="0" w:color="auto"/>
        <w:left w:val="none" w:sz="0" w:space="0" w:color="auto"/>
        <w:bottom w:val="none" w:sz="0" w:space="0" w:color="auto"/>
        <w:right w:val="none" w:sz="0" w:space="0" w:color="auto"/>
      </w:divBdr>
      <w:divsChild>
        <w:div w:id="157352631">
          <w:marLeft w:val="0"/>
          <w:marRight w:val="0"/>
          <w:marTop w:val="0"/>
          <w:marBottom w:val="0"/>
          <w:divBdr>
            <w:top w:val="none" w:sz="0" w:space="0" w:color="auto"/>
            <w:left w:val="none" w:sz="0" w:space="0" w:color="auto"/>
            <w:bottom w:val="none" w:sz="0" w:space="0" w:color="auto"/>
            <w:right w:val="none" w:sz="0" w:space="0" w:color="auto"/>
          </w:divBdr>
          <w:divsChild>
            <w:div w:id="157352727">
              <w:marLeft w:val="0"/>
              <w:marRight w:val="0"/>
              <w:marTop w:val="0"/>
              <w:marBottom w:val="0"/>
              <w:divBdr>
                <w:top w:val="none" w:sz="0" w:space="0" w:color="auto"/>
                <w:left w:val="none" w:sz="0" w:space="0" w:color="auto"/>
                <w:bottom w:val="none" w:sz="0" w:space="0" w:color="auto"/>
                <w:right w:val="none" w:sz="0" w:space="0" w:color="auto"/>
              </w:divBdr>
              <w:divsChild>
                <w:div w:id="157352791">
                  <w:marLeft w:val="0"/>
                  <w:marRight w:val="0"/>
                  <w:marTop w:val="0"/>
                  <w:marBottom w:val="0"/>
                  <w:divBdr>
                    <w:top w:val="none" w:sz="0" w:space="0" w:color="auto"/>
                    <w:left w:val="none" w:sz="0" w:space="0" w:color="auto"/>
                    <w:bottom w:val="none" w:sz="0" w:space="0" w:color="auto"/>
                    <w:right w:val="none" w:sz="0" w:space="0" w:color="auto"/>
                  </w:divBdr>
                  <w:divsChild>
                    <w:div w:id="157353277">
                      <w:marLeft w:val="0"/>
                      <w:marRight w:val="0"/>
                      <w:marTop w:val="0"/>
                      <w:marBottom w:val="0"/>
                      <w:divBdr>
                        <w:top w:val="none" w:sz="0" w:space="0" w:color="auto"/>
                        <w:left w:val="none" w:sz="0" w:space="0" w:color="auto"/>
                        <w:bottom w:val="none" w:sz="0" w:space="0" w:color="auto"/>
                        <w:right w:val="none" w:sz="0" w:space="0" w:color="auto"/>
                      </w:divBdr>
                      <w:divsChild>
                        <w:div w:id="157352656">
                          <w:marLeft w:val="0"/>
                          <w:marRight w:val="0"/>
                          <w:marTop w:val="0"/>
                          <w:marBottom w:val="0"/>
                          <w:divBdr>
                            <w:top w:val="none" w:sz="0" w:space="0" w:color="auto"/>
                            <w:left w:val="none" w:sz="0" w:space="0" w:color="auto"/>
                            <w:bottom w:val="none" w:sz="0" w:space="0" w:color="auto"/>
                            <w:right w:val="none" w:sz="0" w:space="0" w:color="auto"/>
                          </w:divBdr>
                          <w:divsChild>
                            <w:div w:id="157353034">
                              <w:marLeft w:val="0"/>
                              <w:marRight w:val="0"/>
                              <w:marTop w:val="0"/>
                              <w:marBottom w:val="0"/>
                              <w:divBdr>
                                <w:top w:val="none" w:sz="0" w:space="0" w:color="auto"/>
                                <w:left w:val="none" w:sz="0" w:space="0" w:color="auto"/>
                                <w:bottom w:val="none" w:sz="0" w:space="0" w:color="auto"/>
                                <w:right w:val="none" w:sz="0" w:space="0" w:color="auto"/>
                              </w:divBdr>
                              <w:divsChild>
                                <w:div w:id="157352768">
                                  <w:marLeft w:val="0"/>
                                  <w:marRight w:val="0"/>
                                  <w:marTop w:val="0"/>
                                  <w:marBottom w:val="390"/>
                                  <w:divBdr>
                                    <w:top w:val="none" w:sz="0" w:space="0" w:color="auto"/>
                                    <w:left w:val="none" w:sz="0" w:space="0" w:color="auto"/>
                                    <w:bottom w:val="none" w:sz="0" w:space="0" w:color="auto"/>
                                    <w:right w:val="none" w:sz="0" w:space="0" w:color="auto"/>
                                  </w:divBdr>
                                  <w:divsChild>
                                    <w:div w:id="157352584">
                                      <w:marLeft w:val="0"/>
                                      <w:marRight w:val="0"/>
                                      <w:marTop w:val="0"/>
                                      <w:marBottom w:val="0"/>
                                      <w:divBdr>
                                        <w:top w:val="none" w:sz="0" w:space="0" w:color="auto"/>
                                        <w:left w:val="none" w:sz="0" w:space="0" w:color="auto"/>
                                        <w:bottom w:val="none" w:sz="0" w:space="0" w:color="auto"/>
                                        <w:right w:val="none" w:sz="0" w:space="0" w:color="auto"/>
                                      </w:divBdr>
                                      <w:divsChild>
                                        <w:div w:id="157352797">
                                          <w:marLeft w:val="0"/>
                                          <w:marRight w:val="0"/>
                                          <w:marTop w:val="240"/>
                                          <w:marBottom w:val="240"/>
                                          <w:divBdr>
                                            <w:top w:val="none" w:sz="0" w:space="0" w:color="auto"/>
                                            <w:left w:val="none" w:sz="0" w:space="0" w:color="auto"/>
                                            <w:bottom w:val="none" w:sz="0" w:space="0" w:color="auto"/>
                                            <w:right w:val="none" w:sz="0" w:space="0" w:color="auto"/>
                                          </w:divBdr>
                                        </w:div>
                                        <w:div w:id="157352896">
                                          <w:marLeft w:val="0"/>
                                          <w:marRight w:val="0"/>
                                          <w:marTop w:val="240"/>
                                          <w:marBottom w:val="240"/>
                                          <w:divBdr>
                                            <w:top w:val="none" w:sz="0" w:space="0" w:color="auto"/>
                                            <w:left w:val="none" w:sz="0" w:space="0" w:color="auto"/>
                                            <w:bottom w:val="none" w:sz="0" w:space="0" w:color="auto"/>
                                            <w:right w:val="none" w:sz="0" w:space="0" w:color="auto"/>
                                          </w:divBdr>
                                        </w:div>
                                        <w:div w:id="1573533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52561">
      <w:marLeft w:val="0"/>
      <w:marRight w:val="0"/>
      <w:marTop w:val="0"/>
      <w:marBottom w:val="0"/>
      <w:divBdr>
        <w:top w:val="none" w:sz="0" w:space="0" w:color="auto"/>
        <w:left w:val="none" w:sz="0" w:space="0" w:color="auto"/>
        <w:bottom w:val="none" w:sz="0" w:space="0" w:color="auto"/>
        <w:right w:val="none" w:sz="0" w:space="0" w:color="auto"/>
      </w:divBdr>
      <w:divsChild>
        <w:div w:id="157353330">
          <w:marLeft w:val="0"/>
          <w:marRight w:val="0"/>
          <w:marTop w:val="0"/>
          <w:marBottom w:val="0"/>
          <w:divBdr>
            <w:top w:val="none" w:sz="0" w:space="0" w:color="auto"/>
            <w:left w:val="none" w:sz="0" w:space="0" w:color="auto"/>
            <w:bottom w:val="none" w:sz="0" w:space="0" w:color="auto"/>
            <w:right w:val="none" w:sz="0" w:space="0" w:color="auto"/>
          </w:divBdr>
          <w:divsChild>
            <w:div w:id="157352599">
              <w:marLeft w:val="0"/>
              <w:marRight w:val="0"/>
              <w:marTop w:val="0"/>
              <w:marBottom w:val="150"/>
              <w:divBdr>
                <w:top w:val="none" w:sz="0" w:space="0" w:color="auto"/>
                <w:left w:val="none" w:sz="0" w:space="0" w:color="auto"/>
                <w:bottom w:val="none" w:sz="0" w:space="0" w:color="auto"/>
                <w:right w:val="none" w:sz="0" w:space="0" w:color="auto"/>
              </w:divBdr>
              <w:divsChild>
                <w:div w:id="1573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563">
      <w:marLeft w:val="0"/>
      <w:marRight w:val="0"/>
      <w:marTop w:val="0"/>
      <w:marBottom w:val="0"/>
      <w:divBdr>
        <w:top w:val="none" w:sz="0" w:space="0" w:color="auto"/>
        <w:left w:val="none" w:sz="0" w:space="0" w:color="auto"/>
        <w:bottom w:val="none" w:sz="0" w:space="0" w:color="auto"/>
        <w:right w:val="none" w:sz="0" w:space="0" w:color="auto"/>
      </w:divBdr>
      <w:divsChild>
        <w:div w:id="157352601">
          <w:marLeft w:val="0"/>
          <w:marRight w:val="0"/>
          <w:marTop w:val="0"/>
          <w:marBottom w:val="0"/>
          <w:divBdr>
            <w:top w:val="none" w:sz="0" w:space="0" w:color="auto"/>
            <w:left w:val="none" w:sz="0" w:space="0" w:color="auto"/>
            <w:bottom w:val="none" w:sz="0" w:space="0" w:color="auto"/>
            <w:right w:val="none" w:sz="0" w:space="0" w:color="auto"/>
          </w:divBdr>
          <w:divsChild>
            <w:div w:id="157352978">
              <w:marLeft w:val="0"/>
              <w:marRight w:val="0"/>
              <w:marTop w:val="0"/>
              <w:marBottom w:val="150"/>
              <w:divBdr>
                <w:top w:val="none" w:sz="0" w:space="0" w:color="auto"/>
                <w:left w:val="none" w:sz="0" w:space="0" w:color="auto"/>
                <w:bottom w:val="none" w:sz="0" w:space="0" w:color="auto"/>
                <w:right w:val="none" w:sz="0" w:space="0" w:color="auto"/>
              </w:divBdr>
              <w:divsChild>
                <w:div w:id="1573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566">
      <w:marLeft w:val="0"/>
      <w:marRight w:val="0"/>
      <w:marTop w:val="0"/>
      <w:marBottom w:val="0"/>
      <w:divBdr>
        <w:top w:val="none" w:sz="0" w:space="0" w:color="auto"/>
        <w:left w:val="none" w:sz="0" w:space="0" w:color="auto"/>
        <w:bottom w:val="none" w:sz="0" w:space="0" w:color="auto"/>
        <w:right w:val="none" w:sz="0" w:space="0" w:color="auto"/>
      </w:divBdr>
      <w:divsChild>
        <w:div w:id="157352854">
          <w:marLeft w:val="0"/>
          <w:marRight w:val="0"/>
          <w:marTop w:val="0"/>
          <w:marBottom w:val="150"/>
          <w:divBdr>
            <w:top w:val="single" w:sz="6" w:space="12" w:color="C9C9C9"/>
            <w:left w:val="single" w:sz="6" w:space="12" w:color="C9C9C9"/>
            <w:bottom w:val="single" w:sz="6" w:space="12" w:color="C9C9C9"/>
            <w:right w:val="single" w:sz="6" w:space="12" w:color="C9C9C9"/>
          </w:divBdr>
          <w:divsChild>
            <w:div w:id="157353072">
              <w:marLeft w:val="0"/>
              <w:marRight w:val="180"/>
              <w:marTop w:val="0"/>
              <w:marBottom w:val="0"/>
              <w:divBdr>
                <w:top w:val="none" w:sz="0" w:space="0" w:color="auto"/>
                <w:left w:val="none" w:sz="0" w:space="0" w:color="auto"/>
                <w:bottom w:val="none" w:sz="0" w:space="0" w:color="auto"/>
                <w:right w:val="none" w:sz="0" w:space="0" w:color="auto"/>
              </w:divBdr>
              <w:divsChild>
                <w:div w:id="157353232">
                  <w:marLeft w:val="0"/>
                  <w:marRight w:val="0"/>
                  <w:marTop w:val="225"/>
                  <w:marBottom w:val="0"/>
                  <w:divBdr>
                    <w:top w:val="none" w:sz="0" w:space="0" w:color="auto"/>
                    <w:left w:val="none" w:sz="0" w:space="0" w:color="auto"/>
                    <w:bottom w:val="single" w:sz="6" w:space="11" w:color="B1B1B1"/>
                    <w:right w:val="none" w:sz="0" w:space="0" w:color="auto"/>
                  </w:divBdr>
                </w:div>
              </w:divsChild>
            </w:div>
          </w:divsChild>
        </w:div>
      </w:divsChild>
    </w:div>
    <w:div w:id="157352569">
      <w:marLeft w:val="0"/>
      <w:marRight w:val="0"/>
      <w:marTop w:val="0"/>
      <w:marBottom w:val="0"/>
      <w:divBdr>
        <w:top w:val="none" w:sz="0" w:space="0" w:color="auto"/>
        <w:left w:val="none" w:sz="0" w:space="0" w:color="auto"/>
        <w:bottom w:val="none" w:sz="0" w:space="0" w:color="auto"/>
        <w:right w:val="none" w:sz="0" w:space="0" w:color="auto"/>
      </w:divBdr>
      <w:divsChild>
        <w:div w:id="157352513">
          <w:marLeft w:val="0"/>
          <w:marRight w:val="0"/>
          <w:marTop w:val="0"/>
          <w:marBottom w:val="0"/>
          <w:divBdr>
            <w:top w:val="none" w:sz="0" w:space="0" w:color="auto"/>
            <w:left w:val="none" w:sz="0" w:space="0" w:color="auto"/>
            <w:bottom w:val="none" w:sz="0" w:space="0" w:color="auto"/>
            <w:right w:val="none" w:sz="0" w:space="0" w:color="auto"/>
          </w:divBdr>
        </w:div>
      </w:divsChild>
    </w:div>
    <w:div w:id="157352571">
      <w:marLeft w:val="0"/>
      <w:marRight w:val="0"/>
      <w:marTop w:val="0"/>
      <w:marBottom w:val="0"/>
      <w:divBdr>
        <w:top w:val="none" w:sz="0" w:space="0" w:color="auto"/>
        <w:left w:val="none" w:sz="0" w:space="0" w:color="auto"/>
        <w:bottom w:val="none" w:sz="0" w:space="0" w:color="auto"/>
        <w:right w:val="none" w:sz="0" w:space="0" w:color="auto"/>
      </w:divBdr>
      <w:divsChild>
        <w:div w:id="157353377">
          <w:marLeft w:val="0"/>
          <w:marRight w:val="0"/>
          <w:marTop w:val="0"/>
          <w:marBottom w:val="0"/>
          <w:divBdr>
            <w:top w:val="none" w:sz="0" w:space="0" w:color="auto"/>
            <w:left w:val="none" w:sz="0" w:space="0" w:color="auto"/>
            <w:bottom w:val="none" w:sz="0" w:space="0" w:color="auto"/>
            <w:right w:val="none" w:sz="0" w:space="0" w:color="auto"/>
          </w:divBdr>
          <w:divsChild>
            <w:div w:id="157353353">
              <w:marLeft w:val="0"/>
              <w:marRight w:val="0"/>
              <w:marTop w:val="0"/>
              <w:marBottom w:val="0"/>
              <w:divBdr>
                <w:top w:val="none" w:sz="0" w:space="0" w:color="auto"/>
                <w:left w:val="none" w:sz="0" w:space="0" w:color="auto"/>
                <w:bottom w:val="none" w:sz="0" w:space="0" w:color="auto"/>
                <w:right w:val="none" w:sz="0" w:space="0" w:color="auto"/>
              </w:divBdr>
              <w:divsChild>
                <w:div w:id="157353038">
                  <w:marLeft w:val="0"/>
                  <w:marRight w:val="0"/>
                  <w:marTop w:val="0"/>
                  <w:marBottom w:val="0"/>
                  <w:divBdr>
                    <w:top w:val="none" w:sz="0" w:space="0" w:color="auto"/>
                    <w:left w:val="none" w:sz="0" w:space="0" w:color="auto"/>
                    <w:bottom w:val="none" w:sz="0" w:space="0" w:color="auto"/>
                    <w:right w:val="none" w:sz="0" w:space="0" w:color="auto"/>
                  </w:divBdr>
                  <w:divsChild>
                    <w:div w:id="157353180">
                      <w:marLeft w:val="0"/>
                      <w:marRight w:val="0"/>
                      <w:marTop w:val="0"/>
                      <w:marBottom w:val="0"/>
                      <w:divBdr>
                        <w:top w:val="none" w:sz="0" w:space="0" w:color="auto"/>
                        <w:left w:val="none" w:sz="0" w:space="0" w:color="auto"/>
                        <w:bottom w:val="none" w:sz="0" w:space="0" w:color="auto"/>
                        <w:right w:val="none" w:sz="0" w:space="0" w:color="auto"/>
                      </w:divBdr>
                      <w:divsChild>
                        <w:div w:id="157353006">
                          <w:marLeft w:val="0"/>
                          <w:marRight w:val="0"/>
                          <w:marTop w:val="0"/>
                          <w:marBottom w:val="0"/>
                          <w:divBdr>
                            <w:top w:val="none" w:sz="0" w:space="0" w:color="auto"/>
                            <w:left w:val="none" w:sz="0" w:space="0" w:color="auto"/>
                            <w:bottom w:val="none" w:sz="0" w:space="0" w:color="auto"/>
                            <w:right w:val="none" w:sz="0" w:space="0" w:color="auto"/>
                          </w:divBdr>
                          <w:divsChild>
                            <w:div w:id="157352823">
                              <w:marLeft w:val="0"/>
                              <w:marRight w:val="0"/>
                              <w:marTop w:val="0"/>
                              <w:marBottom w:val="0"/>
                              <w:divBdr>
                                <w:top w:val="none" w:sz="0" w:space="0" w:color="auto"/>
                                <w:left w:val="none" w:sz="0" w:space="0" w:color="auto"/>
                                <w:bottom w:val="none" w:sz="0" w:space="0" w:color="auto"/>
                                <w:right w:val="none" w:sz="0" w:space="0" w:color="auto"/>
                              </w:divBdr>
                              <w:divsChild>
                                <w:div w:id="157352906">
                                  <w:marLeft w:val="0"/>
                                  <w:marRight w:val="0"/>
                                  <w:marTop w:val="0"/>
                                  <w:marBottom w:val="390"/>
                                  <w:divBdr>
                                    <w:top w:val="none" w:sz="0" w:space="0" w:color="auto"/>
                                    <w:left w:val="none" w:sz="0" w:space="0" w:color="auto"/>
                                    <w:bottom w:val="none" w:sz="0" w:space="0" w:color="auto"/>
                                    <w:right w:val="none" w:sz="0" w:space="0" w:color="auto"/>
                                  </w:divBdr>
                                  <w:divsChild>
                                    <w:div w:id="157353158">
                                      <w:marLeft w:val="0"/>
                                      <w:marRight w:val="0"/>
                                      <w:marTop w:val="0"/>
                                      <w:marBottom w:val="0"/>
                                      <w:divBdr>
                                        <w:top w:val="none" w:sz="0" w:space="0" w:color="auto"/>
                                        <w:left w:val="none" w:sz="0" w:space="0" w:color="auto"/>
                                        <w:bottom w:val="none" w:sz="0" w:space="0" w:color="auto"/>
                                        <w:right w:val="none" w:sz="0" w:space="0" w:color="auto"/>
                                      </w:divBdr>
                                      <w:divsChild>
                                        <w:div w:id="157352770">
                                          <w:marLeft w:val="0"/>
                                          <w:marRight w:val="0"/>
                                          <w:marTop w:val="240"/>
                                          <w:marBottom w:val="240"/>
                                          <w:divBdr>
                                            <w:top w:val="none" w:sz="0" w:space="0" w:color="auto"/>
                                            <w:left w:val="none" w:sz="0" w:space="0" w:color="auto"/>
                                            <w:bottom w:val="none" w:sz="0" w:space="0" w:color="auto"/>
                                            <w:right w:val="none" w:sz="0" w:space="0" w:color="auto"/>
                                          </w:divBdr>
                                        </w:div>
                                        <w:div w:id="1573531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52575">
      <w:marLeft w:val="0"/>
      <w:marRight w:val="0"/>
      <w:marTop w:val="0"/>
      <w:marBottom w:val="0"/>
      <w:divBdr>
        <w:top w:val="none" w:sz="0" w:space="0" w:color="auto"/>
        <w:left w:val="none" w:sz="0" w:space="0" w:color="auto"/>
        <w:bottom w:val="none" w:sz="0" w:space="0" w:color="auto"/>
        <w:right w:val="none" w:sz="0" w:space="0" w:color="auto"/>
      </w:divBdr>
    </w:div>
    <w:div w:id="157352576">
      <w:marLeft w:val="0"/>
      <w:marRight w:val="0"/>
      <w:marTop w:val="0"/>
      <w:marBottom w:val="0"/>
      <w:divBdr>
        <w:top w:val="none" w:sz="0" w:space="0" w:color="auto"/>
        <w:left w:val="none" w:sz="0" w:space="0" w:color="auto"/>
        <w:bottom w:val="none" w:sz="0" w:space="0" w:color="auto"/>
        <w:right w:val="none" w:sz="0" w:space="0" w:color="auto"/>
      </w:divBdr>
    </w:div>
    <w:div w:id="157352581">
      <w:marLeft w:val="0"/>
      <w:marRight w:val="0"/>
      <w:marTop w:val="0"/>
      <w:marBottom w:val="0"/>
      <w:divBdr>
        <w:top w:val="none" w:sz="0" w:space="0" w:color="auto"/>
        <w:left w:val="none" w:sz="0" w:space="0" w:color="auto"/>
        <w:bottom w:val="none" w:sz="0" w:space="0" w:color="auto"/>
        <w:right w:val="none" w:sz="0" w:space="0" w:color="auto"/>
      </w:divBdr>
    </w:div>
    <w:div w:id="157352585">
      <w:marLeft w:val="0"/>
      <w:marRight w:val="0"/>
      <w:marTop w:val="0"/>
      <w:marBottom w:val="0"/>
      <w:divBdr>
        <w:top w:val="none" w:sz="0" w:space="0" w:color="auto"/>
        <w:left w:val="none" w:sz="0" w:space="0" w:color="auto"/>
        <w:bottom w:val="none" w:sz="0" w:space="0" w:color="auto"/>
        <w:right w:val="none" w:sz="0" w:space="0" w:color="auto"/>
      </w:divBdr>
    </w:div>
    <w:div w:id="157352589">
      <w:marLeft w:val="0"/>
      <w:marRight w:val="0"/>
      <w:marTop w:val="0"/>
      <w:marBottom w:val="0"/>
      <w:divBdr>
        <w:top w:val="none" w:sz="0" w:space="0" w:color="auto"/>
        <w:left w:val="none" w:sz="0" w:space="0" w:color="auto"/>
        <w:bottom w:val="none" w:sz="0" w:space="0" w:color="auto"/>
        <w:right w:val="none" w:sz="0" w:space="0" w:color="auto"/>
      </w:divBdr>
    </w:div>
    <w:div w:id="157352596">
      <w:marLeft w:val="0"/>
      <w:marRight w:val="0"/>
      <w:marTop w:val="0"/>
      <w:marBottom w:val="0"/>
      <w:divBdr>
        <w:top w:val="none" w:sz="0" w:space="0" w:color="auto"/>
        <w:left w:val="none" w:sz="0" w:space="0" w:color="auto"/>
        <w:bottom w:val="none" w:sz="0" w:space="0" w:color="auto"/>
        <w:right w:val="none" w:sz="0" w:space="0" w:color="auto"/>
      </w:divBdr>
    </w:div>
    <w:div w:id="157352598">
      <w:marLeft w:val="0"/>
      <w:marRight w:val="0"/>
      <w:marTop w:val="0"/>
      <w:marBottom w:val="0"/>
      <w:divBdr>
        <w:top w:val="none" w:sz="0" w:space="0" w:color="auto"/>
        <w:left w:val="none" w:sz="0" w:space="0" w:color="auto"/>
        <w:bottom w:val="none" w:sz="0" w:space="0" w:color="auto"/>
        <w:right w:val="none" w:sz="0" w:space="0" w:color="auto"/>
      </w:divBdr>
    </w:div>
    <w:div w:id="157352608">
      <w:marLeft w:val="0"/>
      <w:marRight w:val="0"/>
      <w:marTop w:val="0"/>
      <w:marBottom w:val="0"/>
      <w:divBdr>
        <w:top w:val="none" w:sz="0" w:space="0" w:color="auto"/>
        <w:left w:val="none" w:sz="0" w:space="0" w:color="auto"/>
        <w:bottom w:val="none" w:sz="0" w:space="0" w:color="auto"/>
        <w:right w:val="none" w:sz="0" w:space="0" w:color="auto"/>
      </w:divBdr>
      <w:divsChild>
        <w:div w:id="157352689">
          <w:marLeft w:val="0"/>
          <w:marRight w:val="0"/>
          <w:marTop w:val="0"/>
          <w:marBottom w:val="0"/>
          <w:divBdr>
            <w:top w:val="none" w:sz="0" w:space="0" w:color="auto"/>
            <w:left w:val="none" w:sz="0" w:space="0" w:color="auto"/>
            <w:bottom w:val="none" w:sz="0" w:space="0" w:color="auto"/>
            <w:right w:val="none" w:sz="0" w:space="0" w:color="auto"/>
          </w:divBdr>
          <w:divsChild>
            <w:div w:id="157352703">
              <w:marLeft w:val="0"/>
              <w:marRight w:val="0"/>
              <w:marTop w:val="0"/>
              <w:marBottom w:val="150"/>
              <w:divBdr>
                <w:top w:val="none" w:sz="0" w:space="0" w:color="auto"/>
                <w:left w:val="none" w:sz="0" w:space="0" w:color="auto"/>
                <w:bottom w:val="none" w:sz="0" w:space="0" w:color="auto"/>
                <w:right w:val="none" w:sz="0" w:space="0" w:color="auto"/>
              </w:divBdr>
              <w:divsChild>
                <w:div w:id="1573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611">
      <w:marLeft w:val="0"/>
      <w:marRight w:val="0"/>
      <w:marTop w:val="0"/>
      <w:marBottom w:val="0"/>
      <w:divBdr>
        <w:top w:val="none" w:sz="0" w:space="0" w:color="auto"/>
        <w:left w:val="none" w:sz="0" w:space="0" w:color="auto"/>
        <w:bottom w:val="none" w:sz="0" w:space="0" w:color="auto"/>
        <w:right w:val="none" w:sz="0" w:space="0" w:color="auto"/>
      </w:divBdr>
    </w:div>
    <w:div w:id="157352615">
      <w:marLeft w:val="0"/>
      <w:marRight w:val="0"/>
      <w:marTop w:val="0"/>
      <w:marBottom w:val="0"/>
      <w:divBdr>
        <w:top w:val="none" w:sz="0" w:space="0" w:color="auto"/>
        <w:left w:val="none" w:sz="0" w:space="0" w:color="auto"/>
        <w:bottom w:val="none" w:sz="0" w:space="0" w:color="auto"/>
        <w:right w:val="none" w:sz="0" w:space="0" w:color="auto"/>
      </w:divBdr>
      <w:divsChild>
        <w:div w:id="157352997">
          <w:marLeft w:val="0"/>
          <w:marRight w:val="0"/>
          <w:marTop w:val="0"/>
          <w:marBottom w:val="0"/>
          <w:divBdr>
            <w:top w:val="none" w:sz="0" w:space="0" w:color="auto"/>
            <w:left w:val="none" w:sz="0" w:space="0" w:color="auto"/>
            <w:bottom w:val="none" w:sz="0" w:space="0" w:color="auto"/>
            <w:right w:val="none" w:sz="0" w:space="0" w:color="auto"/>
          </w:divBdr>
          <w:divsChild>
            <w:div w:id="157353188">
              <w:marLeft w:val="0"/>
              <w:marRight w:val="0"/>
              <w:marTop w:val="0"/>
              <w:marBottom w:val="150"/>
              <w:divBdr>
                <w:top w:val="none" w:sz="0" w:space="0" w:color="auto"/>
                <w:left w:val="none" w:sz="0" w:space="0" w:color="auto"/>
                <w:bottom w:val="none" w:sz="0" w:space="0" w:color="auto"/>
                <w:right w:val="none" w:sz="0" w:space="0" w:color="auto"/>
              </w:divBdr>
              <w:divsChild>
                <w:div w:id="1573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616">
      <w:marLeft w:val="0"/>
      <w:marRight w:val="0"/>
      <w:marTop w:val="1125"/>
      <w:marBottom w:val="0"/>
      <w:divBdr>
        <w:top w:val="none" w:sz="0" w:space="0" w:color="auto"/>
        <w:left w:val="none" w:sz="0" w:space="0" w:color="auto"/>
        <w:bottom w:val="none" w:sz="0" w:space="0" w:color="auto"/>
        <w:right w:val="none" w:sz="0" w:space="0" w:color="auto"/>
      </w:divBdr>
      <w:divsChild>
        <w:div w:id="157353263">
          <w:marLeft w:val="0"/>
          <w:marRight w:val="0"/>
          <w:marTop w:val="0"/>
          <w:marBottom w:val="0"/>
          <w:divBdr>
            <w:top w:val="none" w:sz="0" w:space="0" w:color="auto"/>
            <w:left w:val="none" w:sz="0" w:space="0" w:color="auto"/>
            <w:bottom w:val="none" w:sz="0" w:space="0" w:color="auto"/>
            <w:right w:val="none" w:sz="0" w:space="0" w:color="auto"/>
          </w:divBdr>
          <w:divsChild>
            <w:div w:id="157353083">
              <w:marLeft w:val="0"/>
              <w:marRight w:val="0"/>
              <w:marTop w:val="0"/>
              <w:marBottom w:val="0"/>
              <w:divBdr>
                <w:top w:val="none" w:sz="0" w:space="0" w:color="auto"/>
                <w:left w:val="none" w:sz="0" w:space="0" w:color="auto"/>
                <w:bottom w:val="none" w:sz="0" w:space="0" w:color="auto"/>
                <w:right w:val="none" w:sz="0" w:space="0" w:color="auto"/>
              </w:divBdr>
              <w:divsChild>
                <w:div w:id="157352591">
                  <w:marLeft w:val="0"/>
                  <w:marRight w:val="0"/>
                  <w:marTop w:val="0"/>
                  <w:marBottom w:val="0"/>
                  <w:divBdr>
                    <w:top w:val="none" w:sz="0" w:space="0" w:color="auto"/>
                    <w:left w:val="none" w:sz="0" w:space="0" w:color="auto"/>
                    <w:bottom w:val="none" w:sz="0" w:space="0" w:color="auto"/>
                    <w:right w:val="none" w:sz="0" w:space="0" w:color="auto"/>
                  </w:divBdr>
                  <w:divsChild>
                    <w:div w:id="157353197">
                      <w:marLeft w:val="0"/>
                      <w:marRight w:val="0"/>
                      <w:marTop w:val="0"/>
                      <w:marBottom w:val="0"/>
                      <w:divBdr>
                        <w:top w:val="none" w:sz="0" w:space="0" w:color="auto"/>
                        <w:left w:val="none" w:sz="0" w:space="0" w:color="auto"/>
                        <w:bottom w:val="none" w:sz="0" w:space="0" w:color="auto"/>
                        <w:right w:val="none" w:sz="0" w:space="0" w:color="auto"/>
                      </w:divBdr>
                      <w:divsChild>
                        <w:div w:id="157352983">
                          <w:marLeft w:val="0"/>
                          <w:marRight w:val="0"/>
                          <w:marTop w:val="0"/>
                          <w:marBottom w:val="0"/>
                          <w:divBdr>
                            <w:top w:val="none" w:sz="0" w:space="0" w:color="auto"/>
                            <w:left w:val="none" w:sz="0" w:space="0" w:color="auto"/>
                            <w:bottom w:val="none" w:sz="0" w:space="0" w:color="auto"/>
                            <w:right w:val="none" w:sz="0" w:space="0" w:color="auto"/>
                          </w:divBdr>
                          <w:divsChild>
                            <w:div w:id="157353279">
                              <w:marLeft w:val="0"/>
                              <w:marRight w:val="0"/>
                              <w:marTop w:val="0"/>
                              <w:marBottom w:val="0"/>
                              <w:divBdr>
                                <w:top w:val="none" w:sz="0" w:space="0" w:color="auto"/>
                                <w:left w:val="none" w:sz="0" w:space="0" w:color="auto"/>
                                <w:bottom w:val="none" w:sz="0" w:space="0" w:color="auto"/>
                                <w:right w:val="none" w:sz="0" w:space="0" w:color="auto"/>
                              </w:divBdr>
                              <w:divsChild>
                                <w:div w:id="157353020">
                                  <w:marLeft w:val="0"/>
                                  <w:marRight w:val="0"/>
                                  <w:marTop w:val="0"/>
                                  <w:marBottom w:val="0"/>
                                  <w:divBdr>
                                    <w:top w:val="none" w:sz="0" w:space="0" w:color="auto"/>
                                    <w:left w:val="none" w:sz="0" w:space="0" w:color="auto"/>
                                    <w:bottom w:val="none" w:sz="0" w:space="0" w:color="auto"/>
                                    <w:right w:val="none" w:sz="0" w:space="0" w:color="auto"/>
                                  </w:divBdr>
                                  <w:divsChild>
                                    <w:div w:id="15735335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52618">
      <w:marLeft w:val="0"/>
      <w:marRight w:val="0"/>
      <w:marTop w:val="0"/>
      <w:marBottom w:val="0"/>
      <w:divBdr>
        <w:top w:val="none" w:sz="0" w:space="0" w:color="auto"/>
        <w:left w:val="none" w:sz="0" w:space="0" w:color="auto"/>
        <w:bottom w:val="none" w:sz="0" w:space="0" w:color="auto"/>
        <w:right w:val="none" w:sz="0" w:space="0" w:color="auto"/>
      </w:divBdr>
    </w:div>
    <w:div w:id="157352622">
      <w:marLeft w:val="0"/>
      <w:marRight w:val="0"/>
      <w:marTop w:val="0"/>
      <w:marBottom w:val="0"/>
      <w:divBdr>
        <w:top w:val="none" w:sz="0" w:space="0" w:color="auto"/>
        <w:left w:val="none" w:sz="0" w:space="0" w:color="auto"/>
        <w:bottom w:val="none" w:sz="0" w:space="0" w:color="auto"/>
        <w:right w:val="none" w:sz="0" w:space="0" w:color="auto"/>
      </w:divBdr>
      <w:divsChild>
        <w:div w:id="157353177">
          <w:marLeft w:val="0"/>
          <w:marRight w:val="0"/>
          <w:marTop w:val="0"/>
          <w:marBottom w:val="150"/>
          <w:divBdr>
            <w:top w:val="single" w:sz="6" w:space="12" w:color="C9C9C9"/>
            <w:left w:val="single" w:sz="6" w:space="12" w:color="C9C9C9"/>
            <w:bottom w:val="single" w:sz="6" w:space="12" w:color="C9C9C9"/>
            <w:right w:val="single" w:sz="6" w:space="12" w:color="C9C9C9"/>
          </w:divBdr>
          <w:divsChild>
            <w:div w:id="157352515">
              <w:marLeft w:val="0"/>
              <w:marRight w:val="180"/>
              <w:marTop w:val="0"/>
              <w:marBottom w:val="0"/>
              <w:divBdr>
                <w:top w:val="none" w:sz="0" w:space="0" w:color="auto"/>
                <w:left w:val="none" w:sz="0" w:space="0" w:color="auto"/>
                <w:bottom w:val="none" w:sz="0" w:space="0" w:color="auto"/>
                <w:right w:val="none" w:sz="0" w:space="0" w:color="auto"/>
              </w:divBdr>
              <w:divsChild>
                <w:div w:id="157352659">
                  <w:marLeft w:val="0"/>
                  <w:marRight w:val="0"/>
                  <w:marTop w:val="225"/>
                  <w:marBottom w:val="0"/>
                  <w:divBdr>
                    <w:top w:val="none" w:sz="0" w:space="0" w:color="auto"/>
                    <w:left w:val="none" w:sz="0" w:space="0" w:color="auto"/>
                    <w:bottom w:val="single" w:sz="6" w:space="11" w:color="B1B1B1"/>
                    <w:right w:val="none" w:sz="0" w:space="0" w:color="auto"/>
                  </w:divBdr>
                </w:div>
              </w:divsChild>
            </w:div>
          </w:divsChild>
        </w:div>
      </w:divsChild>
    </w:div>
    <w:div w:id="157352623">
      <w:marLeft w:val="0"/>
      <w:marRight w:val="0"/>
      <w:marTop w:val="0"/>
      <w:marBottom w:val="0"/>
      <w:divBdr>
        <w:top w:val="none" w:sz="0" w:space="0" w:color="auto"/>
        <w:left w:val="none" w:sz="0" w:space="0" w:color="auto"/>
        <w:bottom w:val="none" w:sz="0" w:space="0" w:color="auto"/>
        <w:right w:val="none" w:sz="0" w:space="0" w:color="auto"/>
      </w:divBdr>
    </w:div>
    <w:div w:id="157352624">
      <w:marLeft w:val="0"/>
      <w:marRight w:val="0"/>
      <w:marTop w:val="0"/>
      <w:marBottom w:val="0"/>
      <w:divBdr>
        <w:top w:val="none" w:sz="0" w:space="0" w:color="auto"/>
        <w:left w:val="none" w:sz="0" w:space="0" w:color="auto"/>
        <w:bottom w:val="none" w:sz="0" w:space="0" w:color="auto"/>
        <w:right w:val="none" w:sz="0" w:space="0" w:color="auto"/>
      </w:divBdr>
      <w:divsChild>
        <w:div w:id="157353300">
          <w:marLeft w:val="0"/>
          <w:marRight w:val="0"/>
          <w:marTop w:val="0"/>
          <w:marBottom w:val="0"/>
          <w:divBdr>
            <w:top w:val="none" w:sz="0" w:space="0" w:color="auto"/>
            <w:left w:val="none" w:sz="0" w:space="0" w:color="auto"/>
            <w:bottom w:val="none" w:sz="0" w:space="0" w:color="auto"/>
            <w:right w:val="none" w:sz="0" w:space="0" w:color="auto"/>
          </w:divBdr>
          <w:divsChild>
            <w:div w:id="157353073">
              <w:marLeft w:val="0"/>
              <w:marRight w:val="0"/>
              <w:marTop w:val="0"/>
              <w:marBottom w:val="150"/>
              <w:divBdr>
                <w:top w:val="none" w:sz="0" w:space="0" w:color="auto"/>
                <w:left w:val="none" w:sz="0" w:space="0" w:color="auto"/>
                <w:bottom w:val="none" w:sz="0" w:space="0" w:color="auto"/>
                <w:right w:val="none" w:sz="0" w:space="0" w:color="auto"/>
              </w:divBdr>
              <w:divsChild>
                <w:div w:id="1573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626">
      <w:marLeft w:val="0"/>
      <w:marRight w:val="0"/>
      <w:marTop w:val="0"/>
      <w:marBottom w:val="0"/>
      <w:divBdr>
        <w:top w:val="none" w:sz="0" w:space="0" w:color="auto"/>
        <w:left w:val="none" w:sz="0" w:space="0" w:color="auto"/>
        <w:bottom w:val="none" w:sz="0" w:space="0" w:color="auto"/>
        <w:right w:val="none" w:sz="0" w:space="0" w:color="auto"/>
      </w:divBdr>
    </w:div>
    <w:div w:id="157352627">
      <w:marLeft w:val="0"/>
      <w:marRight w:val="0"/>
      <w:marTop w:val="0"/>
      <w:marBottom w:val="0"/>
      <w:divBdr>
        <w:top w:val="none" w:sz="0" w:space="0" w:color="auto"/>
        <w:left w:val="none" w:sz="0" w:space="0" w:color="auto"/>
        <w:bottom w:val="none" w:sz="0" w:space="0" w:color="auto"/>
        <w:right w:val="none" w:sz="0" w:space="0" w:color="auto"/>
      </w:divBdr>
    </w:div>
    <w:div w:id="157352629">
      <w:marLeft w:val="0"/>
      <w:marRight w:val="0"/>
      <w:marTop w:val="0"/>
      <w:marBottom w:val="0"/>
      <w:divBdr>
        <w:top w:val="none" w:sz="0" w:space="0" w:color="auto"/>
        <w:left w:val="none" w:sz="0" w:space="0" w:color="auto"/>
        <w:bottom w:val="none" w:sz="0" w:space="0" w:color="auto"/>
        <w:right w:val="none" w:sz="0" w:space="0" w:color="auto"/>
      </w:divBdr>
    </w:div>
    <w:div w:id="157352630">
      <w:marLeft w:val="0"/>
      <w:marRight w:val="0"/>
      <w:marTop w:val="0"/>
      <w:marBottom w:val="0"/>
      <w:divBdr>
        <w:top w:val="none" w:sz="0" w:space="0" w:color="auto"/>
        <w:left w:val="none" w:sz="0" w:space="0" w:color="auto"/>
        <w:bottom w:val="none" w:sz="0" w:space="0" w:color="auto"/>
        <w:right w:val="none" w:sz="0" w:space="0" w:color="auto"/>
      </w:divBdr>
    </w:div>
    <w:div w:id="157352632">
      <w:marLeft w:val="0"/>
      <w:marRight w:val="0"/>
      <w:marTop w:val="0"/>
      <w:marBottom w:val="0"/>
      <w:divBdr>
        <w:top w:val="none" w:sz="0" w:space="0" w:color="auto"/>
        <w:left w:val="none" w:sz="0" w:space="0" w:color="auto"/>
        <w:bottom w:val="none" w:sz="0" w:space="0" w:color="auto"/>
        <w:right w:val="none" w:sz="0" w:space="0" w:color="auto"/>
      </w:divBdr>
      <w:divsChild>
        <w:div w:id="157352884">
          <w:marLeft w:val="0"/>
          <w:marRight w:val="0"/>
          <w:marTop w:val="0"/>
          <w:marBottom w:val="0"/>
          <w:divBdr>
            <w:top w:val="none" w:sz="0" w:space="0" w:color="auto"/>
            <w:left w:val="none" w:sz="0" w:space="0" w:color="auto"/>
            <w:bottom w:val="none" w:sz="0" w:space="0" w:color="auto"/>
            <w:right w:val="none" w:sz="0" w:space="0" w:color="auto"/>
          </w:divBdr>
          <w:divsChild>
            <w:div w:id="157352709">
              <w:marLeft w:val="0"/>
              <w:marRight w:val="0"/>
              <w:marTop w:val="0"/>
              <w:marBottom w:val="150"/>
              <w:divBdr>
                <w:top w:val="none" w:sz="0" w:space="0" w:color="auto"/>
                <w:left w:val="none" w:sz="0" w:space="0" w:color="auto"/>
                <w:bottom w:val="none" w:sz="0" w:space="0" w:color="auto"/>
                <w:right w:val="none" w:sz="0" w:space="0" w:color="auto"/>
              </w:divBdr>
              <w:divsChild>
                <w:div w:id="1573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634">
      <w:marLeft w:val="0"/>
      <w:marRight w:val="0"/>
      <w:marTop w:val="0"/>
      <w:marBottom w:val="0"/>
      <w:divBdr>
        <w:top w:val="none" w:sz="0" w:space="0" w:color="auto"/>
        <w:left w:val="none" w:sz="0" w:space="0" w:color="auto"/>
        <w:bottom w:val="none" w:sz="0" w:space="0" w:color="auto"/>
        <w:right w:val="none" w:sz="0" w:space="0" w:color="auto"/>
      </w:divBdr>
      <w:divsChild>
        <w:div w:id="157352509">
          <w:marLeft w:val="0"/>
          <w:marRight w:val="0"/>
          <w:marTop w:val="0"/>
          <w:marBottom w:val="0"/>
          <w:divBdr>
            <w:top w:val="none" w:sz="0" w:space="0" w:color="auto"/>
            <w:left w:val="none" w:sz="0" w:space="0" w:color="auto"/>
            <w:bottom w:val="none" w:sz="0" w:space="0" w:color="auto"/>
            <w:right w:val="none" w:sz="0" w:space="0" w:color="auto"/>
          </w:divBdr>
          <w:divsChild>
            <w:div w:id="157353208">
              <w:marLeft w:val="0"/>
              <w:marRight w:val="0"/>
              <w:marTop w:val="0"/>
              <w:marBottom w:val="150"/>
              <w:divBdr>
                <w:top w:val="none" w:sz="0" w:space="0" w:color="auto"/>
                <w:left w:val="none" w:sz="0" w:space="0" w:color="auto"/>
                <w:bottom w:val="none" w:sz="0" w:space="0" w:color="auto"/>
                <w:right w:val="none" w:sz="0" w:space="0" w:color="auto"/>
              </w:divBdr>
              <w:divsChild>
                <w:div w:id="1573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638">
      <w:marLeft w:val="0"/>
      <w:marRight w:val="0"/>
      <w:marTop w:val="0"/>
      <w:marBottom w:val="0"/>
      <w:divBdr>
        <w:top w:val="none" w:sz="0" w:space="0" w:color="auto"/>
        <w:left w:val="none" w:sz="0" w:space="0" w:color="auto"/>
        <w:bottom w:val="none" w:sz="0" w:space="0" w:color="auto"/>
        <w:right w:val="none" w:sz="0" w:space="0" w:color="auto"/>
      </w:divBdr>
      <w:divsChild>
        <w:div w:id="157353156">
          <w:marLeft w:val="0"/>
          <w:marRight w:val="0"/>
          <w:marTop w:val="0"/>
          <w:marBottom w:val="0"/>
          <w:divBdr>
            <w:top w:val="none" w:sz="0" w:space="0" w:color="auto"/>
            <w:left w:val="none" w:sz="0" w:space="0" w:color="auto"/>
            <w:bottom w:val="none" w:sz="0" w:space="0" w:color="auto"/>
            <w:right w:val="none" w:sz="0" w:space="0" w:color="auto"/>
          </w:divBdr>
          <w:divsChild>
            <w:div w:id="157352670">
              <w:marLeft w:val="0"/>
              <w:marRight w:val="0"/>
              <w:marTop w:val="0"/>
              <w:marBottom w:val="0"/>
              <w:divBdr>
                <w:top w:val="none" w:sz="0" w:space="0" w:color="auto"/>
                <w:left w:val="none" w:sz="0" w:space="0" w:color="auto"/>
                <w:bottom w:val="none" w:sz="0" w:space="0" w:color="auto"/>
                <w:right w:val="none" w:sz="0" w:space="0" w:color="auto"/>
              </w:divBdr>
              <w:divsChild>
                <w:div w:id="157352682">
                  <w:marLeft w:val="0"/>
                  <w:marRight w:val="0"/>
                  <w:marTop w:val="0"/>
                  <w:marBottom w:val="0"/>
                  <w:divBdr>
                    <w:top w:val="none" w:sz="0" w:space="0" w:color="auto"/>
                    <w:left w:val="none" w:sz="0" w:space="0" w:color="auto"/>
                    <w:bottom w:val="none" w:sz="0" w:space="0" w:color="auto"/>
                    <w:right w:val="none" w:sz="0" w:space="0" w:color="auto"/>
                  </w:divBdr>
                  <w:divsChild>
                    <w:div w:id="157353261">
                      <w:marLeft w:val="0"/>
                      <w:marRight w:val="0"/>
                      <w:marTop w:val="0"/>
                      <w:marBottom w:val="0"/>
                      <w:divBdr>
                        <w:top w:val="none" w:sz="0" w:space="0" w:color="auto"/>
                        <w:left w:val="none" w:sz="0" w:space="0" w:color="auto"/>
                        <w:bottom w:val="none" w:sz="0" w:space="0" w:color="auto"/>
                        <w:right w:val="none" w:sz="0" w:space="0" w:color="auto"/>
                      </w:divBdr>
                      <w:divsChild>
                        <w:div w:id="157352790">
                          <w:marLeft w:val="0"/>
                          <w:marRight w:val="0"/>
                          <w:marTop w:val="0"/>
                          <w:marBottom w:val="0"/>
                          <w:divBdr>
                            <w:top w:val="none" w:sz="0" w:space="0" w:color="auto"/>
                            <w:left w:val="none" w:sz="0" w:space="0" w:color="auto"/>
                            <w:bottom w:val="none" w:sz="0" w:space="0" w:color="auto"/>
                            <w:right w:val="none" w:sz="0" w:space="0" w:color="auto"/>
                          </w:divBdr>
                          <w:divsChild>
                            <w:div w:id="157353213">
                              <w:marLeft w:val="0"/>
                              <w:marRight w:val="0"/>
                              <w:marTop w:val="0"/>
                              <w:marBottom w:val="0"/>
                              <w:divBdr>
                                <w:top w:val="none" w:sz="0" w:space="0" w:color="auto"/>
                                <w:left w:val="none" w:sz="0" w:space="0" w:color="auto"/>
                                <w:bottom w:val="none" w:sz="0" w:space="0" w:color="auto"/>
                                <w:right w:val="none" w:sz="0" w:space="0" w:color="auto"/>
                              </w:divBdr>
                              <w:divsChild>
                                <w:div w:id="157352839">
                                  <w:marLeft w:val="0"/>
                                  <w:marRight w:val="0"/>
                                  <w:marTop w:val="0"/>
                                  <w:marBottom w:val="390"/>
                                  <w:divBdr>
                                    <w:top w:val="none" w:sz="0" w:space="0" w:color="auto"/>
                                    <w:left w:val="none" w:sz="0" w:space="0" w:color="auto"/>
                                    <w:bottom w:val="none" w:sz="0" w:space="0" w:color="auto"/>
                                    <w:right w:val="none" w:sz="0" w:space="0" w:color="auto"/>
                                  </w:divBdr>
                                  <w:divsChild>
                                    <w:div w:id="157352852">
                                      <w:marLeft w:val="0"/>
                                      <w:marRight w:val="0"/>
                                      <w:marTop w:val="0"/>
                                      <w:marBottom w:val="0"/>
                                      <w:divBdr>
                                        <w:top w:val="none" w:sz="0" w:space="0" w:color="auto"/>
                                        <w:left w:val="none" w:sz="0" w:space="0" w:color="auto"/>
                                        <w:bottom w:val="none" w:sz="0" w:space="0" w:color="auto"/>
                                        <w:right w:val="none" w:sz="0" w:space="0" w:color="auto"/>
                                      </w:divBdr>
                                      <w:divsChild>
                                        <w:div w:id="1573529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52649">
      <w:marLeft w:val="0"/>
      <w:marRight w:val="0"/>
      <w:marTop w:val="0"/>
      <w:marBottom w:val="0"/>
      <w:divBdr>
        <w:top w:val="none" w:sz="0" w:space="0" w:color="auto"/>
        <w:left w:val="none" w:sz="0" w:space="0" w:color="auto"/>
        <w:bottom w:val="none" w:sz="0" w:space="0" w:color="auto"/>
        <w:right w:val="none" w:sz="0" w:space="0" w:color="auto"/>
      </w:divBdr>
    </w:div>
    <w:div w:id="157352650">
      <w:marLeft w:val="0"/>
      <w:marRight w:val="0"/>
      <w:marTop w:val="0"/>
      <w:marBottom w:val="0"/>
      <w:divBdr>
        <w:top w:val="none" w:sz="0" w:space="0" w:color="auto"/>
        <w:left w:val="none" w:sz="0" w:space="0" w:color="auto"/>
        <w:bottom w:val="none" w:sz="0" w:space="0" w:color="auto"/>
        <w:right w:val="none" w:sz="0" w:space="0" w:color="auto"/>
      </w:divBdr>
      <w:divsChild>
        <w:div w:id="157352756">
          <w:marLeft w:val="0"/>
          <w:marRight w:val="0"/>
          <w:marTop w:val="0"/>
          <w:marBottom w:val="0"/>
          <w:divBdr>
            <w:top w:val="none" w:sz="0" w:space="0" w:color="auto"/>
            <w:left w:val="none" w:sz="0" w:space="0" w:color="auto"/>
            <w:bottom w:val="none" w:sz="0" w:space="0" w:color="auto"/>
            <w:right w:val="none" w:sz="0" w:space="0" w:color="auto"/>
          </w:divBdr>
          <w:divsChild>
            <w:div w:id="157352743">
              <w:marLeft w:val="0"/>
              <w:marRight w:val="0"/>
              <w:marTop w:val="0"/>
              <w:marBottom w:val="150"/>
              <w:divBdr>
                <w:top w:val="none" w:sz="0" w:space="0" w:color="auto"/>
                <w:left w:val="none" w:sz="0" w:space="0" w:color="auto"/>
                <w:bottom w:val="none" w:sz="0" w:space="0" w:color="auto"/>
                <w:right w:val="none" w:sz="0" w:space="0" w:color="auto"/>
              </w:divBdr>
              <w:divsChild>
                <w:div w:id="1573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653">
      <w:marLeft w:val="0"/>
      <w:marRight w:val="0"/>
      <w:marTop w:val="0"/>
      <w:marBottom w:val="0"/>
      <w:divBdr>
        <w:top w:val="none" w:sz="0" w:space="0" w:color="auto"/>
        <w:left w:val="none" w:sz="0" w:space="0" w:color="auto"/>
        <w:bottom w:val="none" w:sz="0" w:space="0" w:color="auto"/>
        <w:right w:val="none" w:sz="0" w:space="0" w:color="auto"/>
      </w:divBdr>
      <w:divsChild>
        <w:div w:id="157353351">
          <w:marLeft w:val="0"/>
          <w:marRight w:val="0"/>
          <w:marTop w:val="0"/>
          <w:marBottom w:val="0"/>
          <w:divBdr>
            <w:top w:val="none" w:sz="0" w:space="0" w:color="auto"/>
            <w:left w:val="none" w:sz="0" w:space="0" w:color="auto"/>
            <w:bottom w:val="none" w:sz="0" w:space="0" w:color="auto"/>
            <w:right w:val="none" w:sz="0" w:space="0" w:color="auto"/>
          </w:divBdr>
          <w:divsChild>
            <w:div w:id="157352538">
              <w:marLeft w:val="0"/>
              <w:marRight w:val="0"/>
              <w:marTop w:val="0"/>
              <w:marBottom w:val="150"/>
              <w:divBdr>
                <w:top w:val="none" w:sz="0" w:space="0" w:color="auto"/>
                <w:left w:val="none" w:sz="0" w:space="0" w:color="auto"/>
                <w:bottom w:val="none" w:sz="0" w:space="0" w:color="auto"/>
                <w:right w:val="none" w:sz="0" w:space="0" w:color="auto"/>
              </w:divBdr>
              <w:divsChild>
                <w:div w:id="1573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654">
      <w:marLeft w:val="0"/>
      <w:marRight w:val="0"/>
      <w:marTop w:val="0"/>
      <w:marBottom w:val="0"/>
      <w:divBdr>
        <w:top w:val="none" w:sz="0" w:space="0" w:color="auto"/>
        <w:left w:val="none" w:sz="0" w:space="0" w:color="auto"/>
        <w:bottom w:val="none" w:sz="0" w:space="0" w:color="auto"/>
        <w:right w:val="none" w:sz="0" w:space="0" w:color="auto"/>
      </w:divBdr>
    </w:div>
    <w:div w:id="157352655">
      <w:marLeft w:val="0"/>
      <w:marRight w:val="0"/>
      <w:marTop w:val="0"/>
      <w:marBottom w:val="0"/>
      <w:divBdr>
        <w:top w:val="none" w:sz="0" w:space="0" w:color="auto"/>
        <w:left w:val="none" w:sz="0" w:space="0" w:color="auto"/>
        <w:bottom w:val="none" w:sz="0" w:space="0" w:color="auto"/>
        <w:right w:val="none" w:sz="0" w:space="0" w:color="auto"/>
      </w:divBdr>
    </w:div>
    <w:div w:id="157352658">
      <w:marLeft w:val="0"/>
      <w:marRight w:val="0"/>
      <w:marTop w:val="0"/>
      <w:marBottom w:val="0"/>
      <w:divBdr>
        <w:top w:val="none" w:sz="0" w:space="0" w:color="auto"/>
        <w:left w:val="none" w:sz="0" w:space="0" w:color="auto"/>
        <w:bottom w:val="none" w:sz="0" w:space="0" w:color="auto"/>
        <w:right w:val="none" w:sz="0" w:space="0" w:color="auto"/>
      </w:divBdr>
      <w:divsChild>
        <w:div w:id="157352708">
          <w:marLeft w:val="0"/>
          <w:marRight w:val="0"/>
          <w:marTop w:val="0"/>
          <w:marBottom w:val="0"/>
          <w:divBdr>
            <w:top w:val="none" w:sz="0" w:space="0" w:color="auto"/>
            <w:left w:val="none" w:sz="0" w:space="0" w:color="auto"/>
            <w:bottom w:val="none" w:sz="0" w:space="0" w:color="auto"/>
            <w:right w:val="none" w:sz="0" w:space="0" w:color="auto"/>
          </w:divBdr>
          <w:divsChild>
            <w:div w:id="157352676">
              <w:marLeft w:val="0"/>
              <w:marRight w:val="0"/>
              <w:marTop w:val="0"/>
              <w:marBottom w:val="150"/>
              <w:divBdr>
                <w:top w:val="none" w:sz="0" w:space="0" w:color="auto"/>
                <w:left w:val="none" w:sz="0" w:space="0" w:color="auto"/>
                <w:bottom w:val="none" w:sz="0" w:space="0" w:color="auto"/>
                <w:right w:val="none" w:sz="0" w:space="0" w:color="auto"/>
              </w:divBdr>
              <w:divsChild>
                <w:div w:id="15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660">
      <w:marLeft w:val="0"/>
      <w:marRight w:val="0"/>
      <w:marTop w:val="0"/>
      <w:marBottom w:val="0"/>
      <w:divBdr>
        <w:top w:val="none" w:sz="0" w:space="0" w:color="auto"/>
        <w:left w:val="none" w:sz="0" w:space="0" w:color="auto"/>
        <w:bottom w:val="none" w:sz="0" w:space="0" w:color="auto"/>
        <w:right w:val="none" w:sz="0" w:space="0" w:color="auto"/>
      </w:divBdr>
      <w:divsChild>
        <w:div w:id="157352713">
          <w:marLeft w:val="0"/>
          <w:marRight w:val="0"/>
          <w:marTop w:val="0"/>
          <w:marBottom w:val="0"/>
          <w:divBdr>
            <w:top w:val="none" w:sz="0" w:space="0" w:color="auto"/>
            <w:left w:val="none" w:sz="0" w:space="0" w:color="auto"/>
            <w:bottom w:val="none" w:sz="0" w:space="0" w:color="auto"/>
            <w:right w:val="none" w:sz="0" w:space="0" w:color="auto"/>
          </w:divBdr>
        </w:div>
        <w:div w:id="157352844">
          <w:marLeft w:val="0"/>
          <w:marRight w:val="0"/>
          <w:marTop w:val="0"/>
          <w:marBottom w:val="0"/>
          <w:divBdr>
            <w:top w:val="none" w:sz="0" w:space="0" w:color="auto"/>
            <w:left w:val="none" w:sz="0" w:space="0" w:color="auto"/>
            <w:bottom w:val="none" w:sz="0" w:space="0" w:color="auto"/>
            <w:right w:val="none" w:sz="0" w:space="0" w:color="auto"/>
          </w:divBdr>
        </w:div>
        <w:div w:id="157352848">
          <w:marLeft w:val="0"/>
          <w:marRight w:val="0"/>
          <w:marTop w:val="0"/>
          <w:marBottom w:val="0"/>
          <w:divBdr>
            <w:top w:val="single" w:sz="2" w:space="0" w:color="CCCCCC"/>
            <w:left w:val="single" w:sz="2" w:space="0" w:color="CCCCCC"/>
            <w:bottom w:val="single" w:sz="12" w:space="0" w:color="CCCCCC"/>
            <w:right w:val="single" w:sz="2" w:space="0" w:color="CCCCCC"/>
          </w:divBdr>
        </w:div>
      </w:divsChild>
    </w:div>
    <w:div w:id="157352662">
      <w:marLeft w:val="0"/>
      <w:marRight w:val="0"/>
      <w:marTop w:val="1125"/>
      <w:marBottom w:val="0"/>
      <w:divBdr>
        <w:top w:val="none" w:sz="0" w:space="0" w:color="auto"/>
        <w:left w:val="none" w:sz="0" w:space="0" w:color="auto"/>
        <w:bottom w:val="none" w:sz="0" w:space="0" w:color="auto"/>
        <w:right w:val="none" w:sz="0" w:space="0" w:color="auto"/>
      </w:divBdr>
      <w:divsChild>
        <w:div w:id="157352665">
          <w:marLeft w:val="0"/>
          <w:marRight w:val="0"/>
          <w:marTop w:val="0"/>
          <w:marBottom w:val="0"/>
          <w:divBdr>
            <w:top w:val="none" w:sz="0" w:space="0" w:color="auto"/>
            <w:left w:val="none" w:sz="0" w:space="0" w:color="auto"/>
            <w:bottom w:val="none" w:sz="0" w:space="0" w:color="auto"/>
            <w:right w:val="none" w:sz="0" w:space="0" w:color="auto"/>
          </w:divBdr>
          <w:divsChild>
            <w:div w:id="157353135">
              <w:marLeft w:val="0"/>
              <w:marRight w:val="0"/>
              <w:marTop w:val="0"/>
              <w:marBottom w:val="0"/>
              <w:divBdr>
                <w:top w:val="none" w:sz="0" w:space="0" w:color="auto"/>
                <w:left w:val="none" w:sz="0" w:space="0" w:color="auto"/>
                <w:bottom w:val="none" w:sz="0" w:space="0" w:color="auto"/>
                <w:right w:val="none" w:sz="0" w:space="0" w:color="auto"/>
              </w:divBdr>
              <w:divsChild>
                <w:div w:id="157353237">
                  <w:marLeft w:val="0"/>
                  <w:marRight w:val="0"/>
                  <w:marTop w:val="0"/>
                  <w:marBottom w:val="0"/>
                  <w:divBdr>
                    <w:top w:val="none" w:sz="0" w:space="0" w:color="auto"/>
                    <w:left w:val="none" w:sz="0" w:space="0" w:color="auto"/>
                    <w:bottom w:val="none" w:sz="0" w:space="0" w:color="auto"/>
                    <w:right w:val="none" w:sz="0" w:space="0" w:color="auto"/>
                  </w:divBdr>
                  <w:divsChild>
                    <w:div w:id="157353126">
                      <w:marLeft w:val="0"/>
                      <w:marRight w:val="0"/>
                      <w:marTop w:val="0"/>
                      <w:marBottom w:val="0"/>
                      <w:divBdr>
                        <w:top w:val="none" w:sz="0" w:space="0" w:color="auto"/>
                        <w:left w:val="none" w:sz="0" w:space="0" w:color="auto"/>
                        <w:bottom w:val="none" w:sz="0" w:space="0" w:color="auto"/>
                        <w:right w:val="none" w:sz="0" w:space="0" w:color="auto"/>
                      </w:divBdr>
                      <w:divsChild>
                        <w:div w:id="157353278">
                          <w:marLeft w:val="0"/>
                          <w:marRight w:val="0"/>
                          <w:marTop w:val="0"/>
                          <w:marBottom w:val="0"/>
                          <w:divBdr>
                            <w:top w:val="none" w:sz="0" w:space="0" w:color="auto"/>
                            <w:left w:val="none" w:sz="0" w:space="0" w:color="auto"/>
                            <w:bottom w:val="none" w:sz="0" w:space="0" w:color="auto"/>
                            <w:right w:val="none" w:sz="0" w:space="0" w:color="auto"/>
                          </w:divBdr>
                          <w:divsChild>
                            <w:div w:id="157353251">
                              <w:marLeft w:val="0"/>
                              <w:marRight w:val="0"/>
                              <w:marTop w:val="0"/>
                              <w:marBottom w:val="0"/>
                              <w:divBdr>
                                <w:top w:val="none" w:sz="0" w:space="0" w:color="auto"/>
                                <w:left w:val="none" w:sz="0" w:space="0" w:color="auto"/>
                                <w:bottom w:val="none" w:sz="0" w:space="0" w:color="auto"/>
                                <w:right w:val="none" w:sz="0" w:space="0" w:color="auto"/>
                              </w:divBdr>
                              <w:divsChild>
                                <w:div w:id="1573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52671">
      <w:marLeft w:val="0"/>
      <w:marRight w:val="0"/>
      <w:marTop w:val="0"/>
      <w:marBottom w:val="0"/>
      <w:divBdr>
        <w:top w:val="none" w:sz="0" w:space="0" w:color="auto"/>
        <w:left w:val="none" w:sz="0" w:space="0" w:color="auto"/>
        <w:bottom w:val="none" w:sz="0" w:space="0" w:color="auto"/>
        <w:right w:val="none" w:sz="0" w:space="0" w:color="auto"/>
      </w:divBdr>
    </w:div>
    <w:div w:id="157352672">
      <w:marLeft w:val="0"/>
      <w:marRight w:val="0"/>
      <w:marTop w:val="0"/>
      <w:marBottom w:val="0"/>
      <w:divBdr>
        <w:top w:val="none" w:sz="0" w:space="0" w:color="auto"/>
        <w:left w:val="none" w:sz="0" w:space="0" w:color="auto"/>
        <w:bottom w:val="none" w:sz="0" w:space="0" w:color="auto"/>
        <w:right w:val="none" w:sz="0" w:space="0" w:color="auto"/>
      </w:divBdr>
      <w:divsChild>
        <w:div w:id="157353331">
          <w:marLeft w:val="0"/>
          <w:marRight w:val="0"/>
          <w:marTop w:val="0"/>
          <w:marBottom w:val="0"/>
          <w:divBdr>
            <w:top w:val="single" w:sz="6" w:space="0" w:color="EDEDED"/>
            <w:left w:val="none" w:sz="0" w:space="0" w:color="auto"/>
            <w:bottom w:val="single" w:sz="6" w:space="23" w:color="FFFFFF"/>
            <w:right w:val="none" w:sz="0" w:space="0" w:color="auto"/>
          </w:divBdr>
          <w:divsChild>
            <w:div w:id="157352785">
              <w:marLeft w:val="0"/>
              <w:marRight w:val="0"/>
              <w:marTop w:val="0"/>
              <w:marBottom w:val="0"/>
              <w:divBdr>
                <w:top w:val="none" w:sz="0" w:space="0" w:color="auto"/>
                <w:left w:val="none" w:sz="0" w:space="0" w:color="auto"/>
                <w:bottom w:val="none" w:sz="0" w:space="0" w:color="auto"/>
                <w:right w:val="none" w:sz="0" w:space="0" w:color="auto"/>
              </w:divBdr>
              <w:divsChild>
                <w:div w:id="157353190">
                  <w:marLeft w:val="0"/>
                  <w:marRight w:val="0"/>
                  <w:marTop w:val="0"/>
                  <w:marBottom w:val="0"/>
                  <w:divBdr>
                    <w:top w:val="none" w:sz="0" w:space="0" w:color="auto"/>
                    <w:left w:val="none" w:sz="0" w:space="0" w:color="auto"/>
                    <w:bottom w:val="none" w:sz="0" w:space="0" w:color="auto"/>
                    <w:right w:val="none" w:sz="0" w:space="0" w:color="auto"/>
                  </w:divBdr>
                  <w:divsChild>
                    <w:div w:id="157353202">
                      <w:marLeft w:val="0"/>
                      <w:marRight w:val="0"/>
                      <w:marTop w:val="15"/>
                      <w:marBottom w:val="0"/>
                      <w:divBdr>
                        <w:top w:val="none" w:sz="0" w:space="0" w:color="auto"/>
                        <w:left w:val="none" w:sz="0" w:space="0" w:color="auto"/>
                        <w:bottom w:val="none" w:sz="0" w:space="0" w:color="auto"/>
                        <w:right w:val="none" w:sz="0" w:space="0" w:color="auto"/>
                      </w:divBdr>
                      <w:divsChild>
                        <w:div w:id="157352741">
                          <w:marLeft w:val="0"/>
                          <w:marRight w:val="0"/>
                          <w:marTop w:val="0"/>
                          <w:marBottom w:val="0"/>
                          <w:divBdr>
                            <w:top w:val="none" w:sz="0" w:space="0" w:color="auto"/>
                            <w:left w:val="none" w:sz="0" w:space="0" w:color="auto"/>
                            <w:bottom w:val="none" w:sz="0" w:space="0" w:color="auto"/>
                            <w:right w:val="none" w:sz="0" w:space="0" w:color="auto"/>
                          </w:divBdr>
                          <w:divsChild>
                            <w:div w:id="157352911">
                              <w:marLeft w:val="0"/>
                              <w:marRight w:val="0"/>
                              <w:marTop w:val="225"/>
                              <w:marBottom w:val="0"/>
                              <w:divBdr>
                                <w:top w:val="none" w:sz="0" w:space="0" w:color="auto"/>
                                <w:left w:val="none" w:sz="0" w:space="0" w:color="auto"/>
                                <w:bottom w:val="none" w:sz="0" w:space="0" w:color="auto"/>
                                <w:right w:val="none" w:sz="0" w:space="0" w:color="auto"/>
                              </w:divBdr>
                              <w:divsChild>
                                <w:div w:id="1573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52674">
      <w:marLeft w:val="0"/>
      <w:marRight w:val="0"/>
      <w:marTop w:val="0"/>
      <w:marBottom w:val="0"/>
      <w:divBdr>
        <w:top w:val="none" w:sz="0" w:space="0" w:color="auto"/>
        <w:left w:val="none" w:sz="0" w:space="0" w:color="auto"/>
        <w:bottom w:val="none" w:sz="0" w:space="0" w:color="auto"/>
        <w:right w:val="none" w:sz="0" w:space="0" w:color="auto"/>
      </w:divBdr>
    </w:div>
    <w:div w:id="157352675">
      <w:marLeft w:val="0"/>
      <w:marRight w:val="0"/>
      <w:marTop w:val="0"/>
      <w:marBottom w:val="0"/>
      <w:divBdr>
        <w:top w:val="none" w:sz="0" w:space="0" w:color="auto"/>
        <w:left w:val="none" w:sz="0" w:space="0" w:color="auto"/>
        <w:bottom w:val="none" w:sz="0" w:space="0" w:color="auto"/>
        <w:right w:val="none" w:sz="0" w:space="0" w:color="auto"/>
      </w:divBdr>
      <w:divsChild>
        <w:div w:id="157352920">
          <w:marLeft w:val="0"/>
          <w:marRight w:val="0"/>
          <w:marTop w:val="0"/>
          <w:marBottom w:val="0"/>
          <w:divBdr>
            <w:top w:val="none" w:sz="0" w:space="0" w:color="auto"/>
            <w:left w:val="none" w:sz="0" w:space="0" w:color="auto"/>
            <w:bottom w:val="none" w:sz="0" w:space="0" w:color="auto"/>
            <w:right w:val="none" w:sz="0" w:space="0" w:color="auto"/>
          </w:divBdr>
          <w:divsChild>
            <w:div w:id="157352578">
              <w:marLeft w:val="0"/>
              <w:marRight w:val="0"/>
              <w:marTop w:val="0"/>
              <w:marBottom w:val="0"/>
              <w:divBdr>
                <w:top w:val="none" w:sz="0" w:space="0" w:color="auto"/>
                <w:left w:val="none" w:sz="0" w:space="0" w:color="auto"/>
                <w:bottom w:val="none" w:sz="0" w:space="0" w:color="auto"/>
                <w:right w:val="none" w:sz="0" w:space="0" w:color="auto"/>
              </w:divBdr>
              <w:divsChild>
                <w:div w:id="157352834">
                  <w:marLeft w:val="0"/>
                  <w:marRight w:val="0"/>
                  <w:marTop w:val="0"/>
                  <w:marBottom w:val="0"/>
                  <w:divBdr>
                    <w:top w:val="none" w:sz="0" w:space="0" w:color="auto"/>
                    <w:left w:val="none" w:sz="0" w:space="0" w:color="auto"/>
                    <w:bottom w:val="none" w:sz="0" w:space="0" w:color="auto"/>
                    <w:right w:val="none" w:sz="0" w:space="0" w:color="auto"/>
                  </w:divBdr>
                  <w:divsChild>
                    <w:div w:id="1573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2679">
      <w:marLeft w:val="0"/>
      <w:marRight w:val="0"/>
      <w:marTop w:val="0"/>
      <w:marBottom w:val="0"/>
      <w:divBdr>
        <w:top w:val="none" w:sz="0" w:space="0" w:color="auto"/>
        <w:left w:val="none" w:sz="0" w:space="0" w:color="auto"/>
        <w:bottom w:val="none" w:sz="0" w:space="0" w:color="auto"/>
        <w:right w:val="none" w:sz="0" w:space="0" w:color="auto"/>
      </w:divBdr>
    </w:div>
    <w:div w:id="157352684">
      <w:marLeft w:val="0"/>
      <w:marRight w:val="0"/>
      <w:marTop w:val="0"/>
      <w:marBottom w:val="0"/>
      <w:divBdr>
        <w:top w:val="none" w:sz="0" w:space="0" w:color="auto"/>
        <w:left w:val="none" w:sz="0" w:space="0" w:color="auto"/>
        <w:bottom w:val="none" w:sz="0" w:space="0" w:color="auto"/>
        <w:right w:val="none" w:sz="0" w:space="0" w:color="auto"/>
      </w:divBdr>
      <w:divsChild>
        <w:div w:id="157352769">
          <w:marLeft w:val="0"/>
          <w:marRight w:val="0"/>
          <w:marTop w:val="0"/>
          <w:marBottom w:val="0"/>
          <w:divBdr>
            <w:top w:val="none" w:sz="0" w:space="0" w:color="auto"/>
            <w:left w:val="none" w:sz="0" w:space="0" w:color="auto"/>
            <w:bottom w:val="none" w:sz="0" w:space="0" w:color="auto"/>
            <w:right w:val="none" w:sz="0" w:space="0" w:color="auto"/>
          </w:divBdr>
          <w:divsChild>
            <w:div w:id="157353171">
              <w:marLeft w:val="0"/>
              <w:marRight w:val="0"/>
              <w:marTop w:val="0"/>
              <w:marBottom w:val="0"/>
              <w:divBdr>
                <w:top w:val="none" w:sz="0" w:space="0" w:color="auto"/>
                <w:left w:val="none" w:sz="0" w:space="0" w:color="auto"/>
                <w:bottom w:val="none" w:sz="0" w:space="0" w:color="auto"/>
                <w:right w:val="none" w:sz="0" w:space="0" w:color="auto"/>
              </w:divBdr>
              <w:divsChild>
                <w:div w:id="1573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692">
      <w:marLeft w:val="0"/>
      <w:marRight w:val="0"/>
      <w:marTop w:val="0"/>
      <w:marBottom w:val="0"/>
      <w:divBdr>
        <w:top w:val="none" w:sz="0" w:space="0" w:color="auto"/>
        <w:left w:val="none" w:sz="0" w:space="0" w:color="auto"/>
        <w:bottom w:val="none" w:sz="0" w:space="0" w:color="auto"/>
        <w:right w:val="none" w:sz="0" w:space="0" w:color="auto"/>
      </w:divBdr>
      <w:divsChild>
        <w:div w:id="157353139">
          <w:marLeft w:val="0"/>
          <w:marRight w:val="0"/>
          <w:marTop w:val="0"/>
          <w:marBottom w:val="0"/>
          <w:divBdr>
            <w:top w:val="none" w:sz="0" w:space="0" w:color="auto"/>
            <w:left w:val="none" w:sz="0" w:space="0" w:color="auto"/>
            <w:bottom w:val="none" w:sz="0" w:space="0" w:color="auto"/>
            <w:right w:val="none" w:sz="0" w:space="0" w:color="auto"/>
          </w:divBdr>
          <w:divsChild>
            <w:div w:id="157353342">
              <w:marLeft w:val="0"/>
              <w:marRight w:val="0"/>
              <w:marTop w:val="0"/>
              <w:marBottom w:val="0"/>
              <w:divBdr>
                <w:top w:val="none" w:sz="0" w:space="0" w:color="auto"/>
                <w:left w:val="none" w:sz="0" w:space="0" w:color="auto"/>
                <w:bottom w:val="none" w:sz="0" w:space="0" w:color="auto"/>
                <w:right w:val="none" w:sz="0" w:space="0" w:color="auto"/>
              </w:divBdr>
              <w:divsChild>
                <w:div w:id="157353137">
                  <w:marLeft w:val="0"/>
                  <w:marRight w:val="0"/>
                  <w:marTop w:val="0"/>
                  <w:marBottom w:val="0"/>
                  <w:divBdr>
                    <w:top w:val="none" w:sz="0" w:space="0" w:color="auto"/>
                    <w:left w:val="none" w:sz="0" w:space="0" w:color="auto"/>
                    <w:bottom w:val="none" w:sz="0" w:space="0" w:color="auto"/>
                    <w:right w:val="none" w:sz="0" w:space="0" w:color="auto"/>
                  </w:divBdr>
                  <w:divsChild>
                    <w:div w:id="157352885">
                      <w:marLeft w:val="0"/>
                      <w:marRight w:val="0"/>
                      <w:marTop w:val="0"/>
                      <w:marBottom w:val="0"/>
                      <w:divBdr>
                        <w:top w:val="none" w:sz="0" w:space="0" w:color="auto"/>
                        <w:left w:val="none" w:sz="0" w:space="0" w:color="auto"/>
                        <w:bottom w:val="none" w:sz="0" w:space="0" w:color="auto"/>
                        <w:right w:val="none" w:sz="0" w:space="0" w:color="auto"/>
                      </w:divBdr>
                      <w:divsChild>
                        <w:div w:id="157352815">
                          <w:marLeft w:val="0"/>
                          <w:marRight w:val="0"/>
                          <w:marTop w:val="0"/>
                          <w:marBottom w:val="0"/>
                          <w:divBdr>
                            <w:top w:val="none" w:sz="0" w:space="0" w:color="auto"/>
                            <w:left w:val="none" w:sz="0" w:space="0" w:color="auto"/>
                            <w:bottom w:val="none" w:sz="0" w:space="0" w:color="auto"/>
                            <w:right w:val="none" w:sz="0" w:space="0" w:color="auto"/>
                          </w:divBdr>
                          <w:divsChild>
                            <w:div w:id="157352991">
                              <w:marLeft w:val="0"/>
                              <w:marRight w:val="0"/>
                              <w:marTop w:val="0"/>
                              <w:marBottom w:val="0"/>
                              <w:divBdr>
                                <w:top w:val="none" w:sz="0" w:space="0" w:color="auto"/>
                                <w:left w:val="none" w:sz="0" w:space="0" w:color="auto"/>
                                <w:bottom w:val="none" w:sz="0" w:space="0" w:color="auto"/>
                                <w:right w:val="none" w:sz="0" w:space="0" w:color="auto"/>
                              </w:divBdr>
                              <w:divsChild>
                                <w:div w:id="157352579">
                                  <w:marLeft w:val="0"/>
                                  <w:marRight w:val="0"/>
                                  <w:marTop w:val="0"/>
                                  <w:marBottom w:val="390"/>
                                  <w:divBdr>
                                    <w:top w:val="none" w:sz="0" w:space="0" w:color="auto"/>
                                    <w:left w:val="none" w:sz="0" w:space="0" w:color="auto"/>
                                    <w:bottom w:val="none" w:sz="0" w:space="0" w:color="auto"/>
                                    <w:right w:val="none" w:sz="0" w:space="0" w:color="auto"/>
                                  </w:divBdr>
                                  <w:divsChild>
                                    <w:div w:id="157352540">
                                      <w:marLeft w:val="0"/>
                                      <w:marRight w:val="0"/>
                                      <w:marTop w:val="0"/>
                                      <w:marBottom w:val="0"/>
                                      <w:divBdr>
                                        <w:top w:val="none" w:sz="0" w:space="0" w:color="auto"/>
                                        <w:left w:val="none" w:sz="0" w:space="0" w:color="auto"/>
                                        <w:bottom w:val="none" w:sz="0" w:space="0" w:color="auto"/>
                                        <w:right w:val="none" w:sz="0" w:space="0" w:color="auto"/>
                                      </w:divBdr>
                                      <w:divsChild>
                                        <w:div w:id="157352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52693">
      <w:marLeft w:val="0"/>
      <w:marRight w:val="0"/>
      <w:marTop w:val="0"/>
      <w:marBottom w:val="0"/>
      <w:divBdr>
        <w:top w:val="none" w:sz="0" w:space="0" w:color="auto"/>
        <w:left w:val="none" w:sz="0" w:space="0" w:color="auto"/>
        <w:bottom w:val="none" w:sz="0" w:space="0" w:color="auto"/>
        <w:right w:val="none" w:sz="0" w:space="0" w:color="auto"/>
      </w:divBdr>
      <w:divsChild>
        <w:div w:id="157352786">
          <w:marLeft w:val="0"/>
          <w:marRight w:val="0"/>
          <w:marTop w:val="0"/>
          <w:marBottom w:val="0"/>
          <w:divBdr>
            <w:top w:val="none" w:sz="0" w:space="0" w:color="auto"/>
            <w:left w:val="none" w:sz="0" w:space="0" w:color="auto"/>
            <w:bottom w:val="none" w:sz="0" w:space="0" w:color="auto"/>
            <w:right w:val="none" w:sz="0" w:space="0" w:color="auto"/>
          </w:divBdr>
          <w:divsChild>
            <w:div w:id="157353060">
              <w:marLeft w:val="0"/>
              <w:marRight w:val="0"/>
              <w:marTop w:val="0"/>
              <w:marBottom w:val="150"/>
              <w:divBdr>
                <w:top w:val="none" w:sz="0" w:space="0" w:color="auto"/>
                <w:left w:val="none" w:sz="0" w:space="0" w:color="auto"/>
                <w:bottom w:val="none" w:sz="0" w:space="0" w:color="auto"/>
                <w:right w:val="none" w:sz="0" w:space="0" w:color="auto"/>
              </w:divBdr>
              <w:divsChild>
                <w:div w:id="157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695">
      <w:marLeft w:val="0"/>
      <w:marRight w:val="0"/>
      <w:marTop w:val="0"/>
      <w:marBottom w:val="0"/>
      <w:divBdr>
        <w:top w:val="none" w:sz="0" w:space="0" w:color="auto"/>
        <w:left w:val="none" w:sz="0" w:space="0" w:color="auto"/>
        <w:bottom w:val="none" w:sz="0" w:space="0" w:color="auto"/>
        <w:right w:val="none" w:sz="0" w:space="0" w:color="auto"/>
      </w:divBdr>
      <w:divsChild>
        <w:div w:id="157352728">
          <w:marLeft w:val="0"/>
          <w:marRight w:val="0"/>
          <w:marTop w:val="0"/>
          <w:marBottom w:val="0"/>
          <w:divBdr>
            <w:top w:val="none" w:sz="0" w:space="0" w:color="auto"/>
            <w:left w:val="none" w:sz="0" w:space="0" w:color="auto"/>
            <w:bottom w:val="none" w:sz="0" w:space="0" w:color="auto"/>
            <w:right w:val="none" w:sz="0" w:space="0" w:color="auto"/>
          </w:divBdr>
          <w:divsChild>
            <w:div w:id="157352949">
              <w:marLeft w:val="0"/>
              <w:marRight w:val="0"/>
              <w:marTop w:val="0"/>
              <w:marBottom w:val="0"/>
              <w:divBdr>
                <w:top w:val="none" w:sz="0" w:space="0" w:color="auto"/>
                <w:left w:val="none" w:sz="0" w:space="0" w:color="auto"/>
                <w:bottom w:val="none" w:sz="0" w:space="0" w:color="auto"/>
                <w:right w:val="none" w:sz="0" w:space="0" w:color="auto"/>
              </w:divBdr>
            </w:div>
          </w:divsChild>
        </w:div>
        <w:div w:id="157352918">
          <w:marLeft w:val="0"/>
          <w:marRight w:val="0"/>
          <w:marTop w:val="0"/>
          <w:marBottom w:val="0"/>
          <w:divBdr>
            <w:top w:val="none" w:sz="0" w:space="0" w:color="auto"/>
            <w:left w:val="none" w:sz="0" w:space="0" w:color="auto"/>
            <w:bottom w:val="none" w:sz="0" w:space="0" w:color="auto"/>
            <w:right w:val="none" w:sz="0" w:space="0" w:color="auto"/>
          </w:divBdr>
          <w:divsChild>
            <w:div w:id="1573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2699">
      <w:marLeft w:val="0"/>
      <w:marRight w:val="0"/>
      <w:marTop w:val="0"/>
      <w:marBottom w:val="0"/>
      <w:divBdr>
        <w:top w:val="none" w:sz="0" w:space="0" w:color="auto"/>
        <w:left w:val="none" w:sz="0" w:space="0" w:color="auto"/>
        <w:bottom w:val="none" w:sz="0" w:space="0" w:color="auto"/>
        <w:right w:val="none" w:sz="0" w:space="0" w:color="auto"/>
      </w:divBdr>
      <w:divsChild>
        <w:div w:id="157352607">
          <w:marLeft w:val="0"/>
          <w:marRight w:val="0"/>
          <w:marTop w:val="0"/>
          <w:marBottom w:val="0"/>
          <w:divBdr>
            <w:top w:val="none" w:sz="0" w:space="0" w:color="auto"/>
            <w:left w:val="none" w:sz="0" w:space="0" w:color="auto"/>
            <w:bottom w:val="none" w:sz="0" w:space="0" w:color="auto"/>
            <w:right w:val="none" w:sz="0" w:space="0" w:color="auto"/>
          </w:divBdr>
          <w:divsChild>
            <w:div w:id="157352759">
              <w:marLeft w:val="0"/>
              <w:marRight w:val="0"/>
              <w:marTop w:val="0"/>
              <w:marBottom w:val="0"/>
              <w:divBdr>
                <w:top w:val="none" w:sz="0" w:space="0" w:color="auto"/>
                <w:left w:val="none" w:sz="0" w:space="0" w:color="auto"/>
                <w:bottom w:val="none" w:sz="0" w:space="0" w:color="auto"/>
                <w:right w:val="none" w:sz="0" w:space="0" w:color="auto"/>
              </w:divBdr>
              <w:divsChild>
                <w:div w:id="157353254">
                  <w:marLeft w:val="-225"/>
                  <w:marRight w:val="-225"/>
                  <w:marTop w:val="0"/>
                  <w:marBottom w:val="0"/>
                  <w:divBdr>
                    <w:top w:val="none" w:sz="0" w:space="0" w:color="auto"/>
                    <w:left w:val="none" w:sz="0" w:space="0" w:color="auto"/>
                    <w:bottom w:val="none" w:sz="0" w:space="0" w:color="auto"/>
                    <w:right w:val="none" w:sz="0" w:space="0" w:color="auto"/>
                  </w:divBdr>
                  <w:divsChild>
                    <w:div w:id="157353161">
                      <w:marLeft w:val="0"/>
                      <w:marRight w:val="0"/>
                      <w:marTop w:val="0"/>
                      <w:marBottom w:val="0"/>
                      <w:divBdr>
                        <w:top w:val="none" w:sz="0" w:space="0" w:color="auto"/>
                        <w:left w:val="none" w:sz="0" w:space="0" w:color="auto"/>
                        <w:bottom w:val="none" w:sz="0" w:space="0" w:color="auto"/>
                        <w:right w:val="none" w:sz="0" w:space="0" w:color="auto"/>
                      </w:divBdr>
                      <w:divsChild>
                        <w:div w:id="157352850">
                          <w:marLeft w:val="-225"/>
                          <w:marRight w:val="-225"/>
                          <w:marTop w:val="0"/>
                          <w:marBottom w:val="0"/>
                          <w:divBdr>
                            <w:top w:val="none" w:sz="0" w:space="0" w:color="auto"/>
                            <w:left w:val="none" w:sz="0" w:space="0" w:color="auto"/>
                            <w:bottom w:val="none" w:sz="0" w:space="0" w:color="auto"/>
                            <w:right w:val="none" w:sz="0" w:space="0" w:color="auto"/>
                          </w:divBdr>
                          <w:divsChild>
                            <w:div w:id="157353036">
                              <w:marLeft w:val="0"/>
                              <w:marRight w:val="0"/>
                              <w:marTop w:val="0"/>
                              <w:marBottom w:val="0"/>
                              <w:divBdr>
                                <w:top w:val="none" w:sz="0" w:space="0" w:color="auto"/>
                                <w:left w:val="none" w:sz="0" w:space="0" w:color="auto"/>
                                <w:bottom w:val="none" w:sz="0" w:space="0" w:color="auto"/>
                                <w:right w:val="none" w:sz="0" w:space="0" w:color="auto"/>
                              </w:divBdr>
                              <w:divsChild>
                                <w:div w:id="157352804">
                                  <w:marLeft w:val="0"/>
                                  <w:marRight w:val="0"/>
                                  <w:marTop w:val="0"/>
                                  <w:marBottom w:val="0"/>
                                  <w:divBdr>
                                    <w:top w:val="none" w:sz="0" w:space="0" w:color="auto"/>
                                    <w:left w:val="none" w:sz="0" w:space="0" w:color="auto"/>
                                    <w:bottom w:val="none" w:sz="0" w:space="0" w:color="auto"/>
                                    <w:right w:val="none" w:sz="0" w:space="0" w:color="auto"/>
                                  </w:divBdr>
                                  <w:divsChild>
                                    <w:div w:id="157352694">
                                      <w:marLeft w:val="-225"/>
                                      <w:marRight w:val="-225"/>
                                      <w:marTop w:val="0"/>
                                      <w:marBottom w:val="0"/>
                                      <w:divBdr>
                                        <w:top w:val="none" w:sz="0" w:space="0" w:color="auto"/>
                                        <w:left w:val="none" w:sz="0" w:space="0" w:color="auto"/>
                                        <w:bottom w:val="none" w:sz="0" w:space="0" w:color="auto"/>
                                        <w:right w:val="none" w:sz="0" w:space="0" w:color="auto"/>
                                      </w:divBdr>
                                      <w:divsChild>
                                        <w:div w:id="157352894">
                                          <w:marLeft w:val="0"/>
                                          <w:marRight w:val="0"/>
                                          <w:marTop w:val="0"/>
                                          <w:marBottom w:val="0"/>
                                          <w:divBdr>
                                            <w:top w:val="none" w:sz="0" w:space="0" w:color="auto"/>
                                            <w:left w:val="none" w:sz="0" w:space="0" w:color="auto"/>
                                            <w:bottom w:val="none" w:sz="0" w:space="0" w:color="auto"/>
                                            <w:right w:val="none" w:sz="0" w:space="0" w:color="auto"/>
                                          </w:divBdr>
                                          <w:divsChild>
                                            <w:div w:id="157353247">
                                              <w:marLeft w:val="0"/>
                                              <w:marRight w:val="0"/>
                                              <w:marTop w:val="0"/>
                                              <w:marBottom w:val="300"/>
                                              <w:divBdr>
                                                <w:top w:val="none" w:sz="0" w:space="0" w:color="auto"/>
                                                <w:left w:val="none" w:sz="0" w:space="0" w:color="auto"/>
                                                <w:bottom w:val="single" w:sz="6" w:space="8" w:color="E6E6E6"/>
                                                <w:right w:val="none" w:sz="0" w:space="0" w:color="auto"/>
                                              </w:divBdr>
                                            </w:div>
                                          </w:divsChild>
                                        </w:div>
                                      </w:divsChild>
                                    </w:div>
                                  </w:divsChild>
                                </w:div>
                              </w:divsChild>
                            </w:div>
                          </w:divsChild>
                        </w:div>
                      </w:divsChild>
                    </w:div>
                  </w:divsChild>
                </w:div>
              </w:divsChild>
            </w:div>
          </w:divsChild>
        </w:div>
      </w:divsChild>
    </w:div>
    <w:div w:id="157352702">
      <w:marLeft w:val="0"/>
      <w:marRight w:val="0"/>
      <w:marTop w:val="0"/>
      <w:marBottom w:val="0"/>
      <w:divBdr>
        <w:top w:val="none" w:sz="0" w:space="0" w:color="auto"/>
        <w:left w:val="none" w:sz="0" w:space="0" w:color="auto"/>
        <w:bottom w:val="none" w:sz="0" w:space="0" w:color="auto"/>
        <w:right w:val="none" w:sz="0" w:space="0" w:color="auto"/>
      </w:divBdr>
      <w:divsChild>
        <w:div w:id="157353210">
          <w:marLeft w:val="0"/>
          <w:marRight w:val="0"/>
          <w:marTop w:val="0"/>
          <w:marBottom w:val="0"/>
          <w:divBdr>
            <w:top w:val="none" w:sz="0" w:space="0" w:color="auto"/>
            <w:left w:val="none" w:sz="0" w:space="0" w:color="auto"/>
            <w:bottom w:val="none" w:sz="0" w:space="0" w:color="auto"/>
            <w:right w:val="none" w:sz="0" w:space="0" w:color="auto"/>
          </w:divBdr>
          <w:divsChild>
            <w:div w:id="157352635">
              <w:marLeft w:val="0"/>
              <w:marRight w:val="0"/>
              <w:marTop w:val="0"/>
              <w:marBottom w:val="0"/>
              <w:divBdr>
                <w:top w:val="none" w:sz="0" w:space="0" w:color="auto"/>
                <w:left w:val="none" w:sz="0" w:space="0" w:color="auto"/>
                <w:bottom w:val="none" w:sz="0" w:space="0" w:color="auto"/>
                <w:right w:val="none" w:sz="0" w:space="0" w:color="auto"/>
              </w:divBdr>
              <w:divsChild>
                <w:div w:id="157353288">
                  <w:marLeft w:val="0"/>
                  <w:marRight w:val="0"/>
                  <w:marTop w:val="0"/>
                  <w:marBottom w:val="0"/>
                  <w:divBdr>
                    <w:top w:val="none" w:sz="0" w:space="0" w:color="auto"/>
                    <w:left w:val="none" w:sz="0" w:space="0" w:color="auto"/>
                    <w:bottom w:val="none" w:sz="0" w:space="0" w:color="auto"/>
                    <w:right w:val="none" w:sz="0" w:space="0" w:color="auto"/>
                  </w:divBdr>
                  <w:divsChild>
                    <w:div w:id="157353100">
                      <w:marLeft w:val="0"/>
                      <w:marRight w:val="0"/>
                      <w:marTop w:val="0"/>
                      <w:marBottom w:val="0"/>
                      <w:divBdr>
                        <w:top w:val="none" w:sz="0" w:space="0" w:color="auto"/>
                        <w:left w:val="none" w:sz="0" w:space="0" w:color="auto"/>
                        <w:bottom w:val="none" w:sz="0" w:space="0" w:color="auto"/>
                        <w:right w:val="none" w:sz="0" w:space="0" w:color="auto"/>
                      </w:divBdr>
                      <w:divsChild>
                        <w:div w:id="157353077">
                          <w:marLeft w:val="0"/>
                          <w:marRight w:val="0"/>
                          <w:marTop w:val="0"/>
                          <w:marBottom w:val="0"/>
                          <w:divBdr>
                            <w:top w:val="none" w:sz="0" w:space="0" w:color="auto"/>
                            <w:left w:val="none" w:sz="0" w:space="0" w:color="auto"/>
                            <w:bottom w:val="none" w:sz="0" w:space="0" w:color="auto"/>
                            <w:right w:val="none" w:sz="0" w:space="0" w:color="auto"/>
                          </w:divBdr>
                          <w:divsChild>
                            <w:div w:id="157353207">
                              <w:marLeft w:val="0"/>
                              <w:marRight w:val="0"/>
                              <w:marTop w:val="0"/>
                              <w:marBottom w:val="0"/>
                              <w:divBdr>
                                <w:top w:val="none" w:sz="0" w:space="0" w:color="auto"/>
                                <w:left w:val="none" w:sz="0" w:space="0" w:color="auto"/>
                                <w:bottom w:val="none" w:sz="0" w:space="0" w:color="auto"/>
                                <w:right w:val="none" w:sz="0" w:space="0" w:color="auto"/>
                              </w:divBdr>
                              <w:divsChild>
                                <w:div w:id="157353141">
                                  <w:marLeft w:val="0"/>
                                  <w:marRight w:val="0"/>
                                  <w:marTop w:val="0"/>
                                  <w:marBottom w:val="390"/>
                                  <w:divBdr>
                                    <w:top w:val="none" w:sz="0" w:space="0" w:color="auto"/>
                                    <w:left w:val="none" w:sz="0" w:space="0" w:color="auto"/>
                                    <w:bottom w:val="none" w:sz="0" w:space="0" w:color="auto"/>
                                    <w:right w:val="none" w:sz="0" w:space="0" w:color="auto"/>
                                  </w:divBdr>
                                  <w:divsChild>
                                    <w:div w:id="157353046">
                                      <w:marLeft w:val="0"/>
                                      <w:marRight w:val="0"/>
                                      <w:marTop w:val="0"/>
                                      <w:marBottom w:val="0"/>
                                      <w:divBdr>
                                        <w:top w:val="none" w:sz="0" w:space="0" w:color="auto"/>
                                        <w:left w:val="none" w:sz="0" w:space="0" w:color="auto"/>
                                        <w:bottom w:val="none" w:sz="0" w:space="0" w:color="auto"/>
                                        <w:right w:val="none" w:sz="0" w:space="0" w:color="auto"/>
                                      </w:divBdr>
                                      <w:divsChild>
                                        <w:div w:id="157352531">
                                          <w:marLeft w:val="0"/>
                                          <w:marRight w:val="0"/>
                                          <w:marTop w:val="240"/>
                                          <w:marBottom w:val="240"/>
                                          <w:divBdr>
                                            <w:top w:val="none" w:sz="0" w:space="0" w:color="auto"/>
                                            <w:left w:val="none" w:sz="0" w:space="0" w:color="auto"/>
                                            <w:bottom w:val="none" w:sz="0" w:space="0" w:color="auto"/>
                                            <w:right w:val="none" w:sz="0" w:space="0" w:color="auto"/>
                                          </w:divBdr>
                                        </w:div>
                                        <w:div w:id="157352711">
                                          <w:marLeft w:val="0"/>
                                          <w:marRight w:val="0"/>
                                          <w:marTop w:val="240"/>
                                          <w:marBottom w:val="240"/>
                                          <w:divBdr>
                                            <w:top w:val="none" w:sz="0" w:space="0" w:color="auto"/>
                                            <w:left w:val="none" w:sz="0" w:space="0" w:color="auto"/>
                                            <w:bottom w:val="none" w:sz="0" w:space="0" w:color="auto"/>
                                            <w:right w:val="none" w:sz="0" w:space="0" w:color="auto"/>
                                          </w:divBdr>
                                        </w:div>
                                        <w:div w:id="157353114">
                                          <w:marLeft w:val="0"/>
                                          <w:marRight w:val="0"/>
                                          <w:marTop w:val="240"/>
                                          <w:marBottom w:val="240"/>
                                          <w:divBdr>
                                            <w:top w:val="none" w:sz="0" w:space="0" w:color="auto"/>
                                            <w:left w:val="none" w:sz="0" w:space="0" w:color="auto"/>
                                            <w:bottom w:val="none" w:sz="0" w:space="0" w:color="auto"/>
                                            <w:right w:val="none" w:sz="0" w:space="0" w:color="auto"/>
                                          </w:divBdr>
                                        </w:div>
                                        <w:div w:id="1573533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52704">
      <w:marLeft w:val="0"/>
      <w:marRight w:val="0"/>
      <w:marTop w:val="0"/>
      <w:marBottom w:val="0"/>
      <w:divBdr>
        <w:top w:val="none" w:sz="0" w:space="0" w:color="auto"/>
        <w:left w:val="none" w:sz="0" w:space="0" w:color="auto"/>
        <w:bottom w:val="none" w:sz="0" w:space="0" w:color="auto"/>
        <w:right w:val="none" w:sz="0" w:space="0" w:color="auto"/>
      </w:divBdr>
    </w:div>
    <w:div w:id="157352707">
      <w:marLeft w:val="0"/>
      <w:marRight w:val="0"/>
      <w:marTop w:val="0"/>
      <w:marBottom w:val="0"/>
      <w:divBdr>
        <w:top w:val="none" w:sz="0" w:space="0" w:color="auto"/>
        <w:left w:val="none" w:sz="0" w:space="0" w:color="auto"/>
        <w:bottom w:val="none" w:sz="0" w:space="0" w:color="auto"/>
        <w:right w:val="none" w:sz="0" w:space="0" w:color="auto"/>
      </w:divBdr>
      <w:divsChild>
        <w:div w:id="157353325">
          <w:marLeft w:val="0"/>
          <w:marRight w:val="0"/>
          <w:marTop w:val="0"/>
          <w:marBottom w:val="150"/>
          <w:divBdr>
            <w:top w:val="single" w:sz="6" w:space="12" w:color="C9C9C9"/>
            <w:left w:val="single" w:sz="6" w:space="12" w:color="C9C9C9"/>
            <w:bottom w:val="single" w:sz="6" w:space="12" w:color="C9C9C9"/>
            <w:right w:val="single" w:sz="6" w:space="12" w:color="C9C9C9"/>
          </w:divBdr>
          <w:divsChild>
            <w:div w:id="157353333">
              <w:marLeft w:val="0"/>
              <w:marRight w:val="180"/>
              <w:marTop w:val="0"/>
              <w:marBottom w:val="0"/>
              <w:divBdr>
                <w:top w:val="none" w:sz="0" w:space="0" w:color="auto"/>
                <w:left w:val="none" w:sz="0" w:space="0" w:color="auto"/>
                <w:bottom w:val="none" w:sz="0" w:space="0" w:color="auto"/>
                <w:right w:val="none" w:sz="0" w:space="0" w:color="auto"/>
              </w:divBdr>
              <w:divsChild>
                <w:div w:id="157353116">
                  <w:marLeft w:val="0"/>
                  <w:marRight w:val="0"/>
                  <w:marTop w:val="225"/>
                  <w:marBottom w:val="0"/>
                  <w:divBdr>
                    <w:top w:val="none" w:sz="0" w:space="0" w:color="auto"/>
                    <w:left w:val="none" w:sz="0" w:space="0" w:color="auto"/>
                    <w:bottom w:val="single" w:sz="6" w:space="11" w:color="B1B1B1"/>
                    <w:right w:val="none" w:sz="0" w:space="0" w:color="auto"/>
                  </w:divBdr>
                </w:div>
              </w:divsChild>
            </w:div>
          </w:divsChild>
        </w:div>
      </w:divsChild>
    </w:div>
    <w:div w:id="157352715">
      <w:marLeft w:val="0"/>
      <w:marRight w:val="0"/>
      <w:marTop w:val="0"/>
      <w:marBottom w:val="0"/>
      <w:divBdr>
        <w:top w:val="none" w:sz="0" w:space="0" w:color="auto"/>
        <w:left w:val="none" w:sz="0" w:space="0" w:color="auto"/>
        <w:bottom w:val="none" w:sz="0" w:space="0" w:color="auto"/>
        <w:right w:val="none" w:sz="0" w:space="0" w:color="auto"/>
      </w:divBdr>
    </w:div>
    <w:div w:id="157352718">
      <w:marLeft w:val="0"/>
      <w:marRight w:val="0"/>
      <w:marTop w:val="0"/>
      <w:marBottom w:val="0"/>
      <w:divBdr>
        <w:top w:val="none" w:sz="0" w:space="0" w:color="auto"/>
        <w:left w:val="none" w:sz="0" w:space="0" w:color="auto"/>
        <w:bottom w:val="none" w:sz="0" w:space="0" w:color="auto"/>
        <w:right w:val="none" w:sz="0" w:space="0" w:color="auto"/>
      </w:divBdr>
    </w:div>
    <w:div w:id="157352719">
      <w:marLeft w:val="0"/>
      <w:marRight w:val="0"/>
      <w:marTop w:val="0"/>
      <w:marBottom w:val="0"/>
      <w:divBdr>
        <w:top w:val="none" w:sz="0" w:space="0" w:color="auto"/>
        <w:left w:val="none" w:sz="0" w:space="0" w:color="auto"/>
        <w:bottom w:val="none" w:sz="0" w:space="0" w:color="auto"/>
        <w:right w:val="none" w:sz="0" w:space="0" w:color="auto"/>
      </w:divBdr>
      <w:divsChild>
        <w:div w:id="157352861">
          <w:marLeft w:val="0"/>
          <w:marRight w:val="0"/>
          <w:marTop w:val="0"/>
          <w:marBottom w:val="0"/>
          <w:divBdr>
            <w:top w:val="none" w:sz="0" w:space="0" w:color="auto"/>
            <w:left w:val="none" w:sz="0" w:space="0" w:color="auto"/>
            <w:bottom w:val="none" w:sz="0" w:space="0" w:color="auto"/>
            <w:right w:val="none" w:sz="0" w:space="0" w:color="auto"/>
          </w:divBdr>
          <w:divsChild>
            <w:div w:id="157352534">
              <w:marLeft w:val="0"/>
              <w:marRight w:val="0"/>
              <w:marTop w:val="0"/>
              <w:marBottom w:val="150"/>
              <w:divBdr>
                <w:top w:val="none" w:sz="0" w:space="0" w:color="auto"/>
                <w:left w:val="none" w:sz="0" w:space="0" w:color="auto"/>
                <w:bottom w:val="none" w:sz="0" w:space="0" w:color="auto"/>
                <w:right w:val="none" w:sz="0" w:space="0" w:color="auto"/>
              </w:divBdr>
              <w:divsChild>
                <w:div w:id="1573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723">
      <w:marLeft w:val="0"/>
      <w:marRight w:val="0"/>
      <w:marTop w:val="0"/>
      <w:marBottom w:val="0"/>
      <w:divBdr>
        <w:top w:val="none" w:sz="0" w:space="0" w:color="auto"/>
        <w:left w:val="none" w:sz="0" w:space="0" w:color="auto"/>
        <w:bottom w:val="none" w:sz="0" w:space="0" w:color="auto"/>
        <w:right w:val="none" w:sz="0" w:space="0" w:color="auto"/>
      </w:divBdr>
    </w:div>
    <w:div w:id="157352726">
      <w:marLeft w:val="0"/>
      <w:marRight w:val="0"/>
      <w:marTop w:val="0"/>
      <w:marBottom w:val="0"/>
      <w:divBdr>
        <w:top w:val="none" w:sz="0" w:space="0" w:color="auto"/>
        <w:left w:val="none" w:sz="0" w:space="0" w:color="auto"/>
        <w:bottom w:val="none" w:sz="0" w:space="0" w:color="auto"/>
        <w:right w:val="none" w:sz="0" w:space="0" w:color="auto"/>
      </w:divBdr>
      <w:divsChild>
        <w:div w:id="157352913">
          <w:marLeft w:val="0"/>
          <w:marRight w:val="0"/>
          <w:marTop w:val="0"/>
          <w:marBottom w:val="0"/>
          <w:divBdr>
            <w:top w:val="none" w:sz="0" w:space="0" w:color="auto"/>
            <w:left w:val="none" w:sz="0" w:space="0" w:color="auto"/>
            <w:bottom w:val="none" w:sz="0" w:space="0" w:color="auto"/>
            <w:right w:val="none" w:sz="0" w:space="0" w:color="auto"/>
          </w:divBdr>
          <w:divsChild>
            <w:div w:id="157352553">
              <w:marLeft w:val="0"/>
              <w:marRight w:val="0"/>
              <w:marTop w:val="0"/>
              <w:marBottom w:val="0"/>
              <w:divBdr>
                <w:top w:val="none" w:sz="0" w:space="0" w:color="auto"/>
                <w:left w:val="none" w:sz="0" w:space="0" w:color="auto"/>
                <w:bottom w:val="none" w:sz="0" w:space="0" w:color="auto"/>
                <w:right w:val="none" w:sz="0" w:space="0" w:color="auto"/>
              </w:divBdr>
              <w:divsChild>
                <w:div w:id="157353283">
                  <w:marLeft w:val="0"/>
                  <w:marRight w:val="0"/>
                  <w:marTop w:val="0"/>
                  <w:marBottom w:val="0"/>
                  <w:divBdr>
                    <w:top w:val="none" w:sz="0" w:space="0" w:color="auto"/>
                    <w:left w:val="none" w:sz="0" w:space="0" w:color="auto"/>
                    <w:bottom w:val="none" w:sz="0" w:space="0" w:color="auto"/>
                    <w:right w:val="none" w:sz="0" w:space="0" w:color="auto"/>
                  </w:divBdr>
                  <w:divsChild>
                    <w:div w:id="157353196">
                      <w:marLeft w:val="0"/>
                      <w:marRight w:val="0"/>
                      <w:marTop w:val="0"/>
                      <w:marBottom w:val="0"/>
                      <w:divBdr>
                        <w:top w:val="none" w:sz="0" w:space="0" w:color="auto"/>
                        <w:left w:val="none" w:sz="0" w:space="0" w:color="auto"/>
                        <w:bottom w:val="none" w:sz="0" w:space="0" w:color="auto"/>
                        <w:right w:val="none" w:sz="0" w:space="0" w:color="auto"/>
                      </w:divBdr>
                      <w:divsChild>
                        <w:div w:id="157352641">
                          <w:marLeft w:val="0"/>
                          <w:marRight w:val="0"/>
                          <w:marTop w:val="0"/>
                          <w:marBottom w:val="0"/>
                          <w:divBdr>
                            <w:top w:val="none" w:sz="0" w:space="0" w:color="auto"/>
                            <w:left w:val="none" w:sz="0" w:space="0" w:color="auto"/>
                            <w:bottom w:val="none" w:sz="0" w:space="0" w:color="auto"/>
                            <w:right w:val="none" w:sz="0" w:space="0" w:color="auto"/>
                          </w:divBdr>
                          <w:divsChild>
                            <w:div w:id="157352619">
                              <w:marLeft w:val="0"/>
                              <w:marRight w:val="0"/>
                              <w:marTop w:val="0"/>
                              <w:marBottom w:val="0"/>
                              <w:divBdr>
                                <w:top w:val="none" w:sz="0" w:space="0" w:color="auto"/>
                                <w:left w:val="none" w:sz="0" w:space="0" w:color="auto"/>
                                <w:bottom w:val="none" w:sz="0" w:space="0" w:color="auto"/>
                                <w:right w:val="none" w:sz="0" w:space="0" w:color="auto"/>
                              </w:divBdr>
                              <w:divsChild>
                                <w:div w:id="157352701">
                                  <w:marLeft w:val="0"/>
                                  <w:marRight w:val="0"/>
                                  <w:marTop w:val="0"/>
                                  <w:marBottom w:val="390"/>
                                  <w:divBdr>
                                    <w:top w:val="none" w:sz="0" w:space="0" w:color="auto"/>
                                    <w:left w:val="none" w:sz="0" w:space="0" w:color="auto"/>
                                    <w:bottom w:val="none" w:sz="0" w:space="0" w:color="auto"/>
                                    <w:right w:val="none" w:sz="0" w:space="0" w:color="auto"/>
                                  </w:divBdr>
                                  <w:divsChild>
                                    <w:div w:id="157352519">
                                      <w:marLeft w:val="0"/>
                                      <w:marRight w:val="0"/>
                                      <w:marTop w:val="0"/>
                                      <w:marBottom w:val="0"/>
                                      <w:divBdr>
                                        <w:top w:val="none" w:sz="0" w:space="0" w:color="auto"/>
                                        <w:left w:val="none" w:sz="0" w:space="0" w:color="auto"/>
                                        <w:bottom w:val="none" w:sz="0" w:space="0" w:color="auto"/>
                                        <w:right w:val="none" w:sz="0" w:space="0" w:color="auto"/>
                                      </w:divBdr>
                                      <w:divsChild>
                                        <w:div w:id="157352807">
                                          <w:marLeft w:val="0"/>
                                          <w:marRight w:val="0"/>
                                          <w:marTop w:val="240"/>
                                          <w:marBottom w:val="240"/>
                                          <w:divBdr>
                                            <w:top w:val="none" w:sz="0" w:space="0" w:color="auto"/>
                                            <w:left w:val="none" w:sz="0" w:space="0" w:color="auto"/>
                                            <w:bottom w:val="none" w:sz="0" w:space="0" w:color="auto"/>
                                            <w:right w:val="none" w:sz="0" w:space="0" w:color="auto"/>
                                          </w:divBdr>
                                        </w:div>
                                        <w:div w:id="1573529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52730">
      <w:marLeft w:val="0"/>
      <w:marRight w:val="0"/>
      <w:marTop w:val="0"/>
      <w:marBottom w:val="0"/>
      <w:divBdr>
        <w:top w:val="none" w:sz="0" w:space="0" w:color="auto"/>
        <w:left w:val="none" w:sz="0" w:space="0" w:color="auto"/>
        <w:bottom w:val="none" w:sz="0" w:space="0" w:color="auto"/>
        <w:right w:val="none" w:sz="0" w:space="0" w:color="auto"/>
      </w:divBdr>
    </w:div>
    <w:div w:id="157352731">
      <w:marLeft w:val="0"/>
      <w:marRight w:val="0"/>
      <w:marTop w:val="0"/>
      <w:marBottom w:val="0"/>
      <w:divBdr>
        <w:top w:val="none" w:sz="0" w:space="0" w:color="auto"/>
        <w:left w:val="none" w:sz="0" w:space="0" w:color="auto"/>
        <w:bottom w:val="none" w:sz="0" w:space="0" w:color="auto"/>
        <w:right w:val="none" w:sz="0" w:space="0" w:color="auto"/>
      </w:divBdr>
    </w:div>
    <w:div w:id="157352732">
      <w:marLeft w:val="0"/>
      <w:marRight w:val="0"/>
      <w:marTop w:val="0"/>
      <w:marBottom w:val="0"/>
      <w:divBdr>
        <w:top w:val="none" w:sz="0" w:space="0" w:color="auto"/>
        <w:left w:val="none" w:sz="0" w:space="0" w:color="auto"/>
        <w:bottom w:val="none" w:sz="0" w:space="0" w:color="auto"/>
        <w:right w:val="none" w:sz="0" w:space="0" w:color="auto"/>
      </w:divBdr>
      <w:divsChild>
        <w:div w:id="157352789">
          <w:marLeft w:val="0"/>
          <w:marRight w:val="0"/>
          <w:marTop w:val="0"/>
          <w:marBottom w:val="0"/>
          <w:divBdr>
            <w:top w:val="none" w:sz="0" w:space="0" w:color="auto"/>
            <w:left w:val="none" w:sz="0" w:space="0" w:color="auto"/>
            <w:bottom w:val="none" w:sz="0" w:space="0" w:color="auto"/>
            <w:right w:val="none" w:sz="0" w:space="0" w:color="auto"/>
          </w:divBdr>
          <w:divsChild>
            <w:div w:id="157353368">
              <w:marLeft w:val="0"/>
              <w:marRight w:val="0"/>
              <w:marTop w:val="0"/>
              <w:marBottom w:val="150"/>
              <w:divBdr>
                <w:top w:val="none" w:sz="0" w:space="0" w:color="auto"/>
                <w:left w:val="none" w:sz="0" w:space="0" w:color="auto"/>
                <w:bottom w:val="none" w:sz="0" w:space="0" w:color="auto"/>
                <w:right w:val="none" w:sz="0" w:space="0" w:color="auto"/>
              </w:divBdr>
              <w:divsChild>
                <w:div w:id="1573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742">
      <w:marLeft w:val="0"/>
      <w:marRight w:val="0"/>
      <w:marTop w:val="0"/>
      <w:marBottom w:val="0"/>
      <w:divBdr>
        <w:top w:val="none" w:sz="0" w:space="0" w:color="auto"/>
        <w:left w:val="none" w:sz="0" w:space="0" w:color="auto"/>
        <w:bottom w:val="none" w:sz="0" w:space="0" w:color="auto"/>
        <w:right w:val="none" w:sz="0" w:space="0" w:color="auto"/>
      </w:divBdr>
    </w:div>
    <w:div w:id="157352747">
      <w:marLeft w:val="0"/>
      <w:marRight w:val="0"/>
      <w:marTop w:val="0"/>
      <w:marBottom w:val="0"/>
      <w:divBdr>
        <w:top w:val="none" w:sz="0" w:space="0" w:color="auto"/>
        <w:left w:val="none" w:sz="0" w:space="0" w:color="auto"/>
        <w:bottom w:val="none" w:sz="0" w:space="0" w:color="auto"/>
        <w:right w:val="none" w:sz="0" w:space="0" w:color="auto"/>
      </w:divBdr>
    </w:div>
    <w:div w:id="157352750">
      <w:marLeft w:val="0"/>
      <w:marRight w:val="0"/>
      <w:marTop w:val="0"/>
      <w:marBottom w:val="0"/>
      <w:divBdr>
        <w:top w:val="none" w:sz="0" w:space="0" w:color="auto"/>
        <w:left w:val="none" w:sz="0" w:space="0" w:color="auto"/>
        <w:bottom w:val="none" w:sz="0" w:space="0" w:color="auto"/>
        <w:right w:val="none" w:sz="0" w:space="0" w:color="auto"/>
      </w:divBdr>
      <w:divsChild>
        <w:div w:id="157352972">
          <w:marLeft w:val="0"/>
          <w:marRight w:val="0"/>
          <w:marTop w:val="0"/>
          <w:marBottom w:val="150"/>
          <w:divBdr>
            <w:top w:val="single" w:sz="6" w:space="12" w:color="C9C9C9"/>
            <w:left w:val="single" w:sz="6" w:space="12" w:color="C9C9C9"/>
            <w:bottom w:val="single" w:sz="6" w:space="12" w:color="C9C9C9"/>
            <w:right w:val="single" w:sz="6" w:space="12" w:color="C9C9C9"/>
          </w:divBdr>
          <w:divsChild>
            <w:div w:id="157352720">
              <w:marLeft w:val="0"/>
              <w:marRight w:val="180"/>
              <w:marTop w:val="0"/>
              <w:marBottom w:val="0"/>
              <w:divBdr>
                <w:top w:val="none" w:sz="0" w:space="0" w:color="auto"/>
                <w:left w:val="none" w:sz="0" w:space="0" w:color="auto"/>
                <w:bottom w:val="none" w:sz="0" w:space="0" w:color="auto"/>
                <w:right w:val="none" w:sz="0" w:space="0" w:color="auto"/>
              </w:divBdr>
              <w:divsChild>
                <w:div w:id="157353344">
                  <w:marLeft w:val="0"/>
                  <w:marRight w:val="0"/>
                  <w:marTop w:val="0"/>
                  <w:marBottom w:val="300"/>
                  <w:divBdr>
                    <w:top w:val="none" w:sz="0" w:space="0" w:color="auto"/>
                    <w:left w:val="none" w:sz="0" w:space="0" w:color="auto"/>
                    <w:bottom w:val="none" w:sz="0" w:space="0" w:color="auto"/>
                    <w:right w:val="none" w:sz="0" w:space="0" w:color="auto"/>
                  </w:divBdr>
                  <w:divsChild>
                    <w:div w:id="157352895">
                      <w:marLeft w:val="0"/>
                      <w:marRight w:val="0"/>
                      <w:marTop w:val="0"/>
                      <w:marBottom w:val="0"/>
                      <w:divBdr>
                        <w:top w:val="none" w:sz="0" w:space="0" w:color="auto"/>
                        <w:left w:val="none" w:sz="0" w:space="0" w:color="auto"/>
                        <w:bottom w:val="dotted" w:sz="6" w:space="4" w:color="B2B2B2"/>
                        <w:right w:val="none" w:sz="0" w:space="0" w:color="auto"/>
                      </w:divBdr>
                    </w:div>
                  </w:divsChild>
                </w:div>
              </w:divsChild>
            </w:div>
          </w:divsChild>
        </w:div>
      </w:divsChild>
    </w:div>
    <w:div w:id="157352751">
      <w:marLeft w:val="0"/>
      <w:marRight w:val="0"/>
      <w:marTop w:val="0"/>
      <w:marBottom w:val="0"/>
      <w:divBdr>
        <w:top w:val="none" w:sz="0" w:space="0" w:color="auto"/>
        <w:left w:val="none" w:sz="0" w:space="0" w:color="auto"/>
        <w:bottom w:val="none" w:sz="0" w:space="0" w:color="auto"/>
        <w:right w:val="none" w:sz="0" w:space="0" w:color="auto"/>
      </w:divBdr>
    </w:div>
    <w:div w:id="157352753">
      <w:marLeft w:val="0"/>
      <w:marRight w:val="0"/>
      <w:marTop w:val="0"/>
      <w:marBottom w:val="0"/>
      <w:divBdr>
        <w:top w:val="none" w:sz="0" w:space="0" w:color="auto"/>
        <w:left w:val="none" w:sz="0" w:space="0" w:color="auto"/>
        <w:bottom w:val="none" w:sz="0" w:space="0" w:color="auto"/>
        <w:right w:val="none" w:sz="0" w:space="0" w:color="auto"/>
      </w:divBdr>
      <w:divsChild>
        <w:div w:id="157352609">
          <w:marLeft w:val="0"/>
          <w:marRight w:val="0"/>
          <w:marTop w:val="0"/>
          <w:marBottom w:val="0"/>
          <w:divBdr>
            <w:top w:val="none" w:sz="0" w:space="0" w:color="auto"/>
            <w:left w:val="none" w:sz="0" w:space="0" w:color="auto"/>
            <w:bottom w:val="none" w:sz="0" w:space="0" w:color="auto"/>
            <w:right w:val="none" w:sz="0" w:space="0" w:color="auto"/>
          </w:divBdr>
          <w:divsChild>
            <w:div w:id="157352583">
              <w:marLeft w:val="0"/>
              <w:marRight w:val="0"/>
              <w:marTop w:val="0"/>
              <w:marBottom w:val="0"/>
              <w:divBdr>
                <w:top w:val="none" w:sz="0" w:space="0" w:color="auto"/>
                <w:left w:val="none" w:sz="0" w:space="0" w:color="auto"/>
                <w:bottom w:val="none" w:sz="0" w:space="0" w:color="auto"/>
                <w:right w:val="none" w:sz="0" w:space="0" w:color="auto"/>
              </w:divBdr>
              <w:divsChild>
                <w:div w:id="157352879">
                  <w:marLeft w:val="0"/>
                  <w:marRight w:val="0"/>
                  <w:marTop w:val="0"/>
                  <w:marBottom w:val="0"/>
                  <w:divBdr>
                    <w:top w:val="none" w:sz="0" w:space="0" w:color="auto"/>
                    <w:left w:val="none" w:sz="0" w:space="0" w:color="auto"/>
                    <w:bottom w:val="none" w:sz="0" w:space="0" w:color="auto"/>
                    <w:right w:val="none" w:sz="0" w:space="0" w:color="auto"/>
                  </w:divBdr>
                  <w:divsChild>
                    <w:div w:id="157352683">
                      <w:marLeft w:val="0"/>
                      <w:marRight w:val="0"/>
                      <w:marTop w:val="0"/>
                      <w:marBottom w:val="0"/>
                      <w:divBdr>
                        <w:top w:val="none" w:sz="0" w:space="0" w:color="auto"/>
                        <w:left w:val="none" w:sz="0" w:space="0" w:color="auto"/>
                        <w:bottom w:val="none" w:sz="0" w:space="0" w:color="auto"/>
                        <w:right w:val="none" w:sz="0" w:space="0" w:color="auto"/>
                      </w:divBdr>
                      <w:divsChild>
                        <w:div w:id="157353067">
                          <w:marLeft w:val="0"/>
                          <w:marRight w:val="0"/>
                          <w:marTop w:val="0"/>
                          <w:marBottom w:val="0"/>
                          <w:divBdr>
                            <w:top w:val="none" w:sz="0" w:space="0" w:color="auto"/>
                            <w:left w:val="none" w:sz="0" w:space="0" w:color="auto"/>
                            <w:bottom w:val="none" w:sz="0" w:space="0" w:color="auto"/>
                            <w:right w:val="none" w:sz="0" w:space="0" w:color="auto"/>
                          </w:divBdr>
                          <w:divsChild>
                            <w:div w:id="157352565">
                              <w:marLeft w:val="0"/>
                              <w:marRight w:val="0"/>
                              <w:marTop w:val="0"/>
                              <w:marBottom w:val="0"/>
                              <w:divBdr>
                                <w:top w:val="none" w:sz="0" w:space="0" w:color="auto"/>
                                <w:left w:val="none" w:sz="0" w:space="0" w:color="auto"/>
                                <w:bottom w:val="none" w:sz="0" w:space="0" w:color="auto"/>
                                <w:right w:val="none" w:sz="0" w:space="0" w:color="auto"/>
                              </w:divBdr>
                              <w:divsChild>
                                <w:div w:id="157353050">
                                  <w:marLeft w:val="0"/>
                                  <w:marRight w:val="0"/>
                                  <w:marTop w:val="0"/>
                                  <w:marBottom w:val="390"/>
                                  <w:divBdr>
                                    <w:top w:val="none" w:sz="0" w:space="0" w:color="auto"/>
                                    <w:left w:val="none" w:sz="0" w:space="0" w:color="auto"/>
                                    <w:bottom w:val="none" w:sz="0" w:space="0" w:color="auto"/>
                                    <w:right w:val="none" w:sz="0" w:space="0" w:color="auto"/>
                                  </w:divBdr>
                                  <w:divsChild>
                                    <w:div w:id="157353176">
                                      <w:marLeft w:val="0"/>
                                      <w:marRight w:val="0"/>
                                      <w:marTop w:val="0"/>
                                      <w:marBottom w:val="0"/>
                                      <w:divBdr>
                                        <w:top w:val="none" w:sz="0" w:space="0" w:color="auto"/>
                                        <w:left w:val="none" w:sz="0" w:space="0" w:color="auto"/>
                                        <w:bottom w:val="none" w:sz="0" w:space="0" w:color="auto"/>
                                        <w:right w:val="none" w:sz="0" w:space="0" w:color="auto"/>
                                      </w:divBdr>
                                      <w:divsChild>
                                        <w:div w:id="1573527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52761">
      <w:marLeft w:val="0"/>
      <w:marRight w:val="0"/>
      <w:marTop w:val="0"/>
      <w:marBottom w:val="0"/>
      <w:divBdr>
        <w:top w:val="none" w:sz="0" w:space="0" w:color="auto"/>
        <w:left w:val="none" w:sz="0" w:space="0" w:color="auto"/>
        <w:bottom w:val="none" w:sz="0" w:space="0" w:color="auto"/>
        <w:right w:val="none" w:sz="0" w:space="0" w:color="auto"/>
      </w:divBdr>
      <w:divsChild>
        <w:div w:id="157353070">
          <w:marLeft w:val="0"/>
          <w:marRight w:val="0"/>
          <w:marTop w:val="0"/>
          <w:marBottom w:val="0"/>
          <w:divBdr>
            <w:top w:val="none" w:sz="0" w:space="0" w:color="auto"/>
            <w:left w:val="none" w:sz="0" w:space="0" w:color="auto"/>
            <w:bottom w:val="none" w:sz="0" w:space="0" w:color="auto"/>
            <w:right w:val="none" w:sz="0" w:space="0" w:color="auto"/>
          </w:divBdr>
          <w:divsChild>
            <w:div w:id="157352776">
              <w:marLeft w:val="0"/>
              <w:marRight w:val="0"/>
              <w:marTop w:val="0"/>
              <w:marBottom w:val="0"/>
              <w:divBdr>
                <w:top w:val="none" w:sz="0" w:space="0" w:color="auto"/>
                <w:left w:val="none" w:sz="0" w:space="0" w:color="auto"/>
                <w:bottom w:val="none" w:sz="0" w:space="0" w:color="auto"/>
                <w:right w:val="none" w:sz="0" w:space="0" w:color="auto"/>
              </w:divBdr>
              <w:divsChild>
                <w:div w:id="157352907">
                  <w:marLeft w:val="0"/>
                  <w:marRight w:val="0"/>
                  <w:marTop w:val="0"/>
                  <w:marBottom w:val="0"/>
                  <w:divBdr>
                    <w:top w:val="none" w:sz="0" w:space="0" w:color="auto"/>
                    <w:left w:val="none" w:sz="0" w:space="0" w:color="auto"/>
                    <w:bottom w:val="none" w:sz="0" w:space="0" w:color="auto"/>
                    <w:right w:val="none" w:sz="0" w:space="0" w:color="auto"/>
                  </w:divBdr>
                  <w:divsChild>
                    <w:div w:id="157352666">
                      <w:marLeft w:val="0"/>
                      <w:marRight w:val="0"/>
                      <w:marTop w:val="0"/>
                      <w:marBottom w:val="0"/>
                      <w:divBdr>
                        <w:top w:val="none" w:sz="0" w:space="0" w:color="auto"/>
                        <w:left w:val="none" w:sz="0" w:space="0" w:color="auto"/>
                        <w:bottom w:val="none" w:sz="0" w:space="0" w:color="auto"/>
                        <w:right w:val="none" w:sz="0" w:space="0" w:color="auto"/>
                      </w:divBdr>
                      <w:divsChild>
                        <w:div w:id="157352922">
                          <w:marLeft w:val="0"/>
                          <w:marRight w:val="0"/>
                          <w:marTop w:val="0"/>
                          <w:marBottom w:val="0"/>
                          <w:divBdr>
                            <w:top w:val="none" w:sz="0" w:space="0" w:color="auto"/>
                            <w:left w:val="none" w:sz="0" w:space="0" w:color="auto"/>
                            <w:bottom w:val="none" w:sz="0" w:space="0" w:color="auto"/>
                            <w:right w:val="none" w:sz="0" w:space="0" w:color="auto"/>
                          </w:divBdr>
                          <w:divsChild>
                            <w:div w:id="157352564">
                              <w:marLeft w:val="0"/>
                              <w:marRight w:val="0"/>
                              <w:marTop w:val="0"/>
                              <w:marBottom w:val="0"/>
                              <w:divBdr>
                                <w:top w:val="none" w:sz="0" w:space="0" w:color="auto"/>
                                <w:left w:val="none" w:sz="0" w:space="0" w:color="auto"/>
                                <w:bottom w:val="none" w:sz="0" w:space="0" w:color="auto"/>
                                <w:right w:val="none" w:sz="0" w:space="0" w:color="auto"/>
                              </w:divBdr>
                              <w:divsChild>
                                <w:div w:id="157353057">
                                  <w:marLeft w:val="0"/>
                                  <w:marRight w:val="0"/>
                                  <w:marTop w:val="0"/>
                                  <w:marBottom w:val="0"/>
                                  <w:divBdr>
                                    <w:top w:val="none" w:sz="0" w:space="0" w:color="auto"/>
                                    <w:left w:val="none" w:sz="0" w:space="0" w:color="auto"/>
                                    <w:bottom w:val="none" w:sz="0" w:space="0" w:color="auto"/>
                                    <w:right w:val="none" w:sz="0" w:space="0" w:color="auto"/>
                                  </w:divBdr>
                                  <w:divsChild>
                                    <w:div w:id="1573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52763">
      <w:marLeft w:val="0"/>
      <w:marRight w:val="0"/>
      <w:marTop w:val="0"/>
      <w:marBottom w:val="0"/>
      <w:divBdr>
        <w:top w:val="none" w:sz="0" w:space="0" w:color="auto"/>
        <w:left w:val="none" w:sz="0" w:space="0" w:color="auto"/>
        <w:bottom w:val="none" w:sz="0" w:space="0" w:color="auto"/>
        <w:right w:val="none" w:sz="0" w:space="0" w:color="auto"/>
      </w:divBdr>
      <w:divsChild>
        <w:div w:id="157352733">
          <w:marLeft w:val="0"/>
          <w:marRight w:val="0"/>
          <w:marTop w:val="0"/>
          <w:marBottom w:val="0"/>
          <w:divBdr>
            <w:top w:val="none" w:sz="0" w:space="0" w:color="auto"/>
            <w:left w:val="none" w:sz="0" w:space="0" w:color="auto"/>
            <w:bottom w:val="none" w:sz="0" w:space="0" w:color="auto"/>
            <w:right w:val="none" w:sz="0" w:space="0" w:color="auto"/>
          </w:divBdr>
          <w:divsChild>
            <w:div w:id="157352965">
              <w:marLeft w:val="0"/>
              <w:marRight w:val="0"/>
              <w:marTop w:val="0"/>
              <w:marBottom w:val="0"/>
              <w:divBdr>
                <w:top w:val="none" w:sz="0" w:space="0" w:color="auto"/>
                <w:left w:val="none" w:sz="0" w:space="0" w:color="auto"/>
                <w:bottom w:val="none" w:sz="0" w:space="0" w:color="auto"/>
                <w:right w:val="none" w:sz="0" w:space="0" w:color="auto"/>
              </w:divBdr>
              <w:divsChild>
                <w:div w:id="157353052">
                  <w:marLeft w:val="0"/>
                  <w:marRight w:val="0"/>
                  <w:marTop w:val="0"/>
                  <w:marBottom w:val="0"/>
                  <w:divBdr>
                    <w:top w:val="none" w:sz="0" w:space="0" w:color="auto"/>
                    <w:left w:val="none" w:sz="0" w:space="0" w:color="auto"/>
                    <w:bottom w:val="none" w:sz="0" w:space="0" w:color="auto"/>
                    <w:right w:val="none" w:sz="0" w:space="0" w:color="auto"/>
                  </w:divBdr>
                  <w:divsChild>
                    <w:div w:id="157353061">
                      <w:marLeft w:val="0"/>
                      <w:marRight w:val="0"/>
                      <w:marTop w:val="0"/>
                      <w:marBottom w:val="0"/>
                      <w:divBdr>
                        <w:top w:val="none" w:sz="0" w:space="0" w:color="auto"/>
                        <w:left w:val="none" w:sz="0" w:space="0" w:color="auto"/>
                        <w:bottom w:val="none" w:sz="0" w:space="0" w:color="auto"/>
                        <w:right w:val="none" w:sz="0" w:space="0" w:color="auto"/>
                      </w:divBdr>
                      <w:divsChild>
                        <w:div w:id="157352648">
                          <w:marLeft w:val="0"/>
                          <w:marRight w:val="-14400"/>
                          <w:marTop w:val="0"/>
                          <w:marBottom w:val="0"/>
                          <w:divBdr>
                            <w:top w:val="none" w:sz="0" w:space="0" w:color="auto"/>
                            <w:left w:val="none" w:sz="0" w:space="0" w:color="auto"/>
                            <w:bottom w:val="none" w:sz="0" w:space="0" w:color="auto"/>
                            <w:right w:val="none" w:sz="0" w:space="0" w:color="auto"/>
                          </w:divBdr>
                          <w:divsChild>
                            <w:div w:id="157352788">
                              <w:marLeft w:val="0"/>
                              <w:marRight w:val="0"/>
                              <w:marTop w:val="0"/>
                              <w:marBottom w:val="0"/>
                              <w:divBdr>
                                <w:top w:val="none" w:sz="0" w:space="0" w:color="auto"/>
                                <w:left w:val="none" w:sz="0" w:space="0" w:color="auto"/>
                                <w:bottom w:val="none" w:sz="0" w:space="0" w:color="auto"/>
                                <w:right w:val="none" w:sz="0" w:space="0" w:color="auto"/>
                              </w:divBdr>
                              <w:divsChild>
                                <w:div w:id="157352560">
                                  <w:marLeft w:val="0"/>
                                  <w:marRight w:val="0"/>
                                  <w:marTop w:val="0"/>
                                  <w:marBottom w:val="0"/>
                                  <w:divBdr>
                                    <w:top w:val="none" w:sz="0" w:space="0" w:color="auto"/>
                                    <w:left w:val="none" w:sz="0" w:space="0" w:color="auto"/>
                                    <w:bottom w:val="none" w:sz="0" w:space="0" w:color="auto"/>
                                    <w:right w:val="none" w:sz="0" w:space="0" w:color="auto"/>
                                  </w:divBdr>
                                  <w:divsChild>
                                    <w:div w:id="157353029">
                                      <w:marLeft w:val="0"/>
                                      <w:marRight w:val="0"/>
                                      <w:marTop w:val="0"/>
                                      <w:marBottom w:val="0"/>
                                      <w:divBdr>
                                        <w:top w:val="none" w:sz="0" w:space="0" w:color="auto"/>
                                        <w:left w:val="none" w:sz="0" w:space="0" w:color="auto"/>
                                        <w:bottom w:val="none" w:sz="0" w:space="0" w:color="auto"/>
                                        <w:right w:val="none" w:sz="0" w:space="0" w:color="auto"/>
                                      </w:divBdr>
                                      <w:divsChild>
                                        <w:div w:id="157353305">
                                          <w:marLeft w:val="0"/>
                                          <w:marRight w:val="0"/>
                                          <w:marTop w:val="0"/>
                                          <w:marBottom w:val="0"/>
                                          <w:divBdr>
                                            <w:top w:val="none" w:sz="0" w:space="0" w:color="auto"/>
                                            <w:left w:val="none" w:sz="0" w:space="0" w:color="auto"/>
                                            <w:bottom w:val="none" w:sz="0" w:space="0" w:color="auto"/>
                                            <w:right w:val="none" w:sz="0" w:space="0" w:color="auto"/>
                                          </w:divBdr>
                                          <w:divsChild>
                                            <w:div w:id="157352639">
                                              <w:marLeft w:val="0"/>
                                              <w:marRight w:val="0"/>
                                              <w:marTop w:val="0"/>
                                              <w:marBottom w:val="0"/>
                                              <w:divBdr>
                                                <w:top w:val="none" w:sz="0" w:space="0" w:color="auto"/>
                                                <w:left w:val="none" w:sz="0" w:space="0" w:color="auto"/>
                                                <w:bottom w:val="none" w:sz="0" w:space="0" w:color="auto"/>
                                                <w:right w:val="none" w:sz="0" w:space="0" w:color="auto"/>
                                              </w:divBdr>
                                            </w:div>
                                            <w:div w:id="157352696">
                                              <w:marLeft w:val="0"/>
                                              <w:marRight w:val="0"/>
                                              <w:marTop w:val="0"/>
                                              <w:marBottom w:val="0"/>
                                              <w:divBdr>
                                                <w:top w:val="none" w:sz="0" w:space="0" w:color="auto"/>
                                                <w:left w:val="none" w:sz="0" w:space="0" w:color="auto"/>
                                                <w:bottom w:val="none" w:sz="0" w:space="0" w:color="auto"/>
                                                <w:right w:val="none" w:sz="0" w:space="0" w:color="auto"/>
                                              </w:divBdr>
                                              <w:divsChild>
                                                <w:div w:id="157352976">
                                                  <w:marLeft w:val="0"/>
                                                  <w:marRight w:val="0"/>
                                                  <w:marTop w:val="0"/>
                                                  <w:marBottom w:val="0"/>
                                                  <w:divBdr>
                                                    <w:top w:val="none" w:sz="0" w:space="0" w:color="auto"/>
                                                    <w:left w:val="none" w:sz="0" w:space="0" w:color="auto"/>
                                                    <w:bottom w:val="none" w:sz="0" w:space="0" w:color="auto"/>
                                                    <w:right w:val="none" w:sz="0" w:space="0" w:color="auto"/>
                                                  </w:divBdr>
                                                </w:div>
                                              </w:divsChild>
                                            </w:div>
                                            <w:div w:id="157352752">
                                              <w:marLeft w:val="0"/>
                                              <w:marRight w:val="0"/>
                                              <w:marTop w:val="0"/>
                                              <w:marBottom w:val="0"/>
                                              <w:divBdr>
                                                <w:top w:val="none" w:sz="0" w:space="0" w:color="auto"/>
                                                <w:left w:val="none" w:sz="0" w:space="0" w:color="auto"/>
                                                <w:bottom w:val="none" w:sz="0" w:space="0" w:color="auto"/>
                                                <w:right w:val="none" w:sz="0" w:space="0" w:color="auto"/>
                                              </w:divBdr>
                                            </w:div>
                                            <w:div w:id="1573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52771">
      <w:marLeft w:val="0"/>
      <w:marRight w:val="0"/>
      <w:marTop w:val="0"/>
      <w:marBottom w:val="0"/>
      <w:divBdr>
        <w:top w:val="none" w:sz="0" w:space="0" w:color="auto"/>
        <w:left w:val="none" w:sz="0" w:space="0" w:color="auto"/>
        <w:bottom w:val="none" w:sz="0" w:space="0" w:color="auto"/>
        <w:right w:val="none" w:sz="0" w:space="0" w:color="auto"/>
      </w:divBdr>
    </w:div>
    <w:div w:id="157352772">
      <w:marLeft w:val="0"/>
      <w:marRight w:val="0"/>
      <w:marTop w:val="0"/>
      <w:marBottom w:val="0"/>
      <w:divBdr>
        <w:top w:val="none" w:sz="0" w:space="0" w:color="auto"/>
        <w:left w:val="none" w:sz="0" w:space="0" w:color="auto"/>
        <w:bottom w:val="none" w:sz="0" w:space="0" w:color="auto"/>
        <w:right w:val="none" w:sz="0" w:space="0" w:color="auto"/>
      </w:divBdr>
      <w:divsChild>
        <w:div w:id="157352574">
          <w:marLeft w:val="0"/>
          <w:marRight w:val="0"/>
          <w:marTop w:val="0"/>
          <w:marBottom w:val="0"/>
          <w:divBdr>
            <w:top w:val="none" w:sz="0" w:space="0" w:color="auto"/>
            <w:left w:val="none" w:sz="0" w:space="0" w:color="auto"/>
            <w:bottom w:val="none" w:sz="0" w:space="0" w:color="auto"/>
            <w:right w:val="none" w:sz="0" w:space="0" w:color="auto"/>
          </w:divBdr>
          <w:divsChild>
            <w:div w:id="157353149">
              <w:marLeft w:val="0"/>
              <w:marRight w:val="0"/>
              <w:marTop w:val="0"/>
              <w:marBottom w:val="0"/>
              <w:divBdr>
                <w:top w:val="none" w:sz="0" w:space="0" w:color="auto"/>
                <w:left w:val="none" w:sz="0" w:space="0" w:color="auto"/>
                <w:bottom w:val="none" w:sz="0" w:space="0" w:color="auto"/>
                <w:right w:val="none" w:sz="0" w:space="0" w:color="auto"/>
              </w:divBdr>
              <w:divsChild>
                <w:div w:id="1573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773">
      <w:marLeft w:val="0"/>
      <w:marRight w:val="0"/>
      <w:marTop w:val="0"/>
      <w:marBottom w:val="0"/>
      <w:divBdr>
        <w:top w:val="none" w:sz="0" w:space="0" w:color="auto"/>
        <w:left w:val="none" w:sz="0" w:space="0" w:color="auto"/>
        <w:bottom w:val="none" w:sz="0" w:space="0" w:color="auto"/>
        <w:right w:val="none" w:sz="0" w:space="0" w:color="auto"/>
      </w:divBdr>
      <w:divsChild>
        <w:div w:id="157353243">
          <w:marLeft w:val="0"/>
          <w:marRight w:val="0"/>
          <w:marTop w:val="0"/>
          <w:marBottom w:val="0"/>
          <w:divBdr>
            <w:top w:val="none" w:sz="0" w:space="0" w:color="auto"/>
            <w:left w:val="none" w:sz="0" w:space="0" w:color="auto"/>
            <w:bottom w:val="none" w:sz="0" w:space="0" w:color="auto"/>
            <w:right w:val="none" w:sz="0" w:space="0" w:color="auto"/>
          </w:divBdr>
          <w:divsChild>
            <w:div w:id="157353258">
              <w:marLeft w:val="0"/>
              <w:marRight w:val="0"/>
              <w:marTop w:val="0"/>
              <w:marBottom w:val="0"/>
              <w:divBdr>
                <w:top w:val="none" w:sz="0" w:space="0" w:color="auto"/>
                <w:left w:val="none" w:sz="0" w:space="0" w:color="auto"/>
                <w:bottom w:val="none" w:sz="0" w:space="0" w:color="auto"/>
                <w:right w:val="none" w:sz="0" w:space="0" w:color="auto"/>
              </w:divBdr>
              <w:divsChild>
                <w:div w:id="157352941">
                  <w:marLeft w:val="0"/>
                  <w:marRight w:val="0"/>
                  <w:marTop w:val="0"/>
                  <w:marBottom w:val="0"/>
                  <w:divBdr>
                    <w:top w:val="none" w:sz="0" w:space="0" w:color="auto"/>
                    <w:left w:val="none" w:sz="0" w:space="0" w:color="auto"/>
                    <w:bottom w:val="none" w:sz="0" w:space="0" w:color="auto"/>
                    <w:right w:val="none" w:sz="0" w:space="0" w:color="auto"/>
                  </w:divBdr>
                  <w:divsChild>
                    <w:div w:id="157352765">
                      <w:marLeft w:val="405"/>
                      <w:marRight w:val="0"/>
                      <w:marTop w:val="0"/>
                      <w:marBottom w:val="0"/>
                      <w:divBdr>
                        <w:top w:val="none" w:sz="0" w:space="0" w:color="auto"/>
                        <w:left w:val="none" w:sz="0" w:space="0" w:color="auto"/>
                        <w:bottom w:val="none" w:sz="0" w:space="0" w:color="auto"/>
                        <w:right w:val="none" w:sz="0" w:space="0" w:color="auto"/>
                      </w:divBdr>
                    </w:div>
                    <w:div w:id="157352981">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2774">
      <w:marLeft w:val="0"/>
      <w:marRight w:val="0"/>
      <w:marTop w:val="0"/>
      <w:marBottom w:val="0"/>
      <w:divBdr>
        <w:top w:val="none" w:sz="0" w:space="0" w:color="auto"/>
        <w:left w:val="none" w:sz="0" w:space="0" w:color="auto"/>
        <w:bottom w:val="none" w:sz="0" w:space="0" w:color="auto"/>
        <w:right w:val="none" w:sz="0" w:space="0" w:color="auto"/>
      </w:divBdr>
    </w:div>
    <w:div w:id="157352777">
      <w:marLeft w:val="0"/>
      <w:marRight w:val="0"/>
      <w:marTop w:val="0"/>
      <w:marBottom w:val="0"/>
      <w:divBdr>
        <w:top w:val="none" w:sz="0" w:space="0" w:color="auto"/>
        <w:left w:val="none" w:sz="0" w:space="0" w:color="auto"/>
        <w:bottom w:val="none" w:sz="0" w:space="0" w:color="auto"/>
        <w:right w:val="none" w:sz="0" w:space="0" w:color="auto"/>
      </w:divBdr>
      <w:divsChild>
        <w:div w:id="157353019">
          <w:marLeft w:val="0"/>
          <w:marRight w:val="0"/>
          <w:marTop w:val="0"/>
          <w:marBottom w:val="0"/>
          <w:divBdr>
            <w:top w:val="none" w:sz="0" w:space="0" w:color="auto"/>
            <w:left w:val="none" w:sz="0" w:space="0" w:color="auto"/>
            <w:bottom w:val="none" w:sz="0" w:space="0" w:color="auto"/>
            <w:right w:val="none" w:sz="0" w:space="0" w:color="auto"/>
          </w:divBdr>
          <w:divsChild>
            <w:div w:id="157353369">
              <w:marLeft w:val="0"/>
              <w:marRight w:val="0"/>
              <w:marTop w:val="0"/>
              <w:marBottom w:val="150"/>
              <w:divBdr>
                <w:top w:val="none" w:sz="0" w:space="0" w:color="auto"/>
                <w:left w:val="none" w:sz="0" w:space="0" w:color="auto"/>
                <w:bottom w:val="none" w:sz="0" w:space="0" w:color="auto"/>
                <w:right w:val="none" w:sz="0" w:space="0" w:color="auto"/>
              </w:divBdr>
              <w:divsChild>
                <w:div w:id="1573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779">
      <w:marLeft w:val="0"/>
      <w:marRight w:val="0"/>
      <w:marTop w:val="0"/>
      <w:marBottom w:val="0"/>
      <w:divBdr>
        <w:top w:val="none" w:sz="0" w:space="0" w:color="auto"/>
        <w:left w:val="none" w:sz="0" w:space="0" w:color="auto"/>
        <w:bottom w:val="none" w:sz="0" w:space="0" w:color="auto"/>
        <w:right w:val="none" w:sz="0" w:space="0" w:color="auto"/>
      </w:divBdr>
    </w:div>
    <w:div w:id="157352795">
      <w:marLeft w:val="0"/>
      <w:marRight w:val="0"/>
      <w:marTop w:val="0"/>
      <w:marBottom w:val="0"/>
      <w:divBdr>
        <w:top w:val="none" w:sz="0" w:space="0" w:color="auto"/>
        <w:left w:val="none" w:sz="0" w:space="0" w:color="auto"/>
        <w:bottom w:val="none" w:sz="0" w:space="0" w:color="auto"/>
        <w:right w:val="none" w:sz="0" w:space="0" w:color="auto"/>
      </w:divBdr>
      <w:divsChild>
        <w:div w:id="157352862">
          <w:marLeft w:val="0"/>
          <w:marRight w:val="0"/>
          <w:marTop w:val="0"/>
          <w:marBottom w:val="0"/>
          <w:divBdr>
            <w:top w:val="none" w:sz="0" w:space="0" w:color="auto"/>
            <w:left w:val="none" w:sz="0" w:space="0" w:color="auto"/>
            <w:bottom w:val="none" w:sz="0" w:space="0" w:color="auto"/>
            <w:right w:val="none" w:sz="0" w:space="0" w:color="auto"/>
          </w:divBdr>
        </w:div>
      </w:divsChild>
    </w:div>
    <w:div w:id="157352796">
      <w:marLeft w:val="0"/>
      <w:marRight w:val="0"/>
      <w:marTop w:val="0"/>
      <w:marBottom w:val="0"/>
      <w:divBdr>
        <w:top w:val="none" w:sz="0" w:space="0" w:color="auto"/>
        <w:left w:val="none" w:sz="0" w:space="0" w:color="auto"/>
        <w:bottom w:val="none" w:sz="0" w:space="0" w:color="auto"/>
        <w:right w:val="none" w:sz="0" w:space="0" w:color="auto"/>
      </w:divBdr>
      <w:divsChild>
        <w:div w:id="157353292">
          <w:marLeft w:val="0"/>
          <w:marRight w:val="0"/>
          <w:marTop w:val="0"/>
          <w:marBottom w:val="0"/>
          <w:divBdr>
            <w:top w:val="none" w:sz="0" w:space="0" w:color="auto"/>
            <w:left w:val="none" w:sz="0" w:space="0" w:color="auto"/>
            <w:bottom w:val="none" w:sz="0" w:space="0" w:color="auto"/>
            <w:right w:val="none" w:sz="0" w:space="0" w:color="auto"/>
          </w:divBdr>
          <w:divsChild>
            <w:div w:id="157352612">
              <w:marLeft w:val="0"/>
              <w:marRight w:val="0"/>
              <w:marTop w:val="0"/>
              <w:marBottom w:val="0"/>
              <w:divBdr>
                <w:top w:val="none" w:sz="0" w:space="0" w:color="auto"/>
                <w:left w:val="none" w:sz="0" w:space="0" w:color="auto"/>
                <w:bottom w:val="none" w:sz="0" w:space="0" w:color="auto"/>
                <w:right w:val="none" w:sz="0" w:space="0" w:color="auto"/>
              </w:divBdr>
              <w:divsChild>
                <w:div w:id="157352932">
                  <w:marLeft w:val="0"/>
                  <w:marRight w:val="0"/>
                  <w:marTop w:val="0"/>
                  <w:marBottom w:val="0"/>
                  <w:divBdr>
                    <w:top w:val="none" w:sz="0" w:space="0" w:color="auto"/>
                    <w:left w:val="none" w:sz="0" w:space="0" w:color="auto"/>
                    <w:bottom w:val="none" w:sz="0" w:space="0" w:color="auto"/>
                    <w:right w:val="none" w:sz="0" w:space="0" w:color="auto"/>
                  </w:divBdr>
                  <w:divsChild>
                    <w:div w:id="157353028">
                      <w:marLeft w:val="0"/>
                      <w:marRight w:val="0"/>
                      <w:marTop w:val="0"/>
                      <w:marBottom w:val="0"/>
                      <w:divBdr>
                        <w:top w:val="none" w:sz="0" w:space="0" w:color="auto"/>
                        <w:left w:val="none" w:sz="0" w:space="0" w:color="auto"/>
                        <w:bottom w:val="none" w:sz="0" w:space="0" w:color="auto"/>
                        <w:right w:val="none" w:sz="0" w:space="0" w:color="auto"/>
                      </w:divBdr>
                      <w:divsChild>
                        <w:div w:id="157352736">
                          <w:marLeft w:val="0"/>
                          <w:marRight w:val="0"/>
                          <w:marTop w:val="0"/>
                          <w:marBottom w:val="0"/>
                          <w:divBdr>
                            <w:top w:val="none" w:sz="0" w:space="0" w:color="auto"/>
                            <w:left w:val="none" w:sz="0" w:space="0" w:color="auto"/>
                            <w:bottom w:val="none" w:sz="0" w:space="0" w:color="auto"/>
                            <w:right w:val="none" w:sz="0" w:space="0" w:color="auto"/>
                          </w:divBdr>
                          <w:divsChild>
                            <w:div w:id="157352778">
                              <w:marLeft w:val="0"/>
                              <w:marRight w:val="0"/>
                              <w:marTop w:val="0"/>
                              <w:marBottom w:val="0"/>
                              <w:divBdr>
                                <w:top w:val="none" w:sz="0" w:space="0" w:color="auto"/>
                                <w:left w:val="none" w:sz="0" w:space="0" w:color="auto"/>
                                <w:bottom w:val="none" w:sz="0" w:space="0" w:color="auto"/>
                                <w:right w:val="none" w:sz="0" w:space="0" w:color="auto"/>
                              </w:divBdr>
                              <w:divsChild>
                                <w:div w:id="157353094">
                                  <w:marLeft w:val="0"/>
                                  <w:marRight w:val="0"/>
                                  <w:marTop w:val="0"/>
                                  <w:marBottom w:val="390"/>
                                  <w:divBdr>
                                    <w:top w:val="none" w:sz="0" w:space="0" w:color="auto"/>
                                    <w:left w:val="none" w:sz="0" w:space="0" w:color="auto"/>
                                    <w:bottom w:val="none" w:sz="0" w:space="0" w:color="auto"/>
                                    <w:right w:val="none" w:sz="0" w:space="0" w:color="auto"/>
                                  </w:divBdr>
                                  <w:divsChild>
                                    <w:div w:id="157353098">
                                      <w:marLeft w:val="0"/>
                                      <w:marRight w:val="0"/>
                                      <w:marTop w:val="0"/>
                                      <w:marBottom w:val="0"/>
                                      <w:divBdr>
                                        <w:top w:val="none" w:sz="0" w:space="0" w:color="auto"/>
                                        <w:left w:val="none" w:sz="0" w:space="0" w:color="auto"/>
                                        <w:bottom w:val="none" w:sz="0" w:space="0" w:color="auto"/>
                                        <w:right w:val="none" w:sz="0" w:space="0" w:color="auto"/>
                                      </w:divBdr>
                                      <w:divsChild>
                                        <w:div w:id="1573528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52798">
      <w:marLeft w:val="0"/>
      <w:marRight w:val="0"/>
      <w:marTop w:val="0"/>
      <w:marBottom w:val="0"/>
      <w:divBdr>
        <w:top w:val="none" w:sz="0" w:space="0" w:color="auto"/>
        <w:left w:val="none" w:sz="0" w:space="0" w:color="auto"/>
        <w:bottom w:val="none" w:sz="0" w:space="0" w:color="auto"/>
        <w:right w:val="none" w:sz="0" w:space="0" w:color="auto"/>
      </w:divBdr>
      <w:divsChild>
        <w:div w:id="157352882">
          <w:marLeft w:val="0"/>
          <w:marRight w:val="0"/>
          <w:marTop w:val="0"/>
          <w:marBottom w:val="0"/>
          <w:divBdr>
            <w:top w:val="none" w:sz="0" w:space="0" w:color="auto"/>
            <w:left w:val="none" w:sz="0" w:space="0" w:color="auto"/>
            <w:bottom w:val="none" w:sz="0" w:space="0" w:color="auto"/>
            <w:right w:val="none" w:sz="0" w:space="0" w:color="auto"/>
          </w:divBdr>
          <w:divsChild>
            <w:div w:id="157353295">
              <w:marLeft w:val="0"/>
              <w:marRight w:val="0"/>
              <w:marTop w:val="0"/>
              <w:marBottom w:val="150"/>
              <w:divBdr>
                <w:top w:val="none" w:sz="0" w:space="0" w:color="auto"/>
                <w:left w:val="none" w:sz="0" w:space="0" w:color="auto"/>
                <w:bottom w:val="none" w:sz="0" w:space="0" w:color="auto"/>
                <w:right w:val="none" w:sz="0" w:space="0" w:color="auto"/>
              </w:divBdr>
              <w:divsChild>
                <w:div w:id="157352977">
                  <w:marLeft w:val="0"/>
                  <w:marRight w:val="0"/>
                  <w:marTop w:val="0"/>
                  <w:marBottom w:val="0"/>
                  <w:divBdr>
                    <w:top w:val="none" w:sz="0" w:space="0" w:color="auto"/>
                    <w:left w:val="none" w:sz="0" w:space="0" w:color="auto"/>
                    <w:bottom w:val="none" w:sz="0" w:space="0" w:color="auto"/>
                    <w:right w:val="none" w:sz="0" w:space="0" w:color="auto"/>
                  </w:divBdr>
                  <w:divsChild>
                    <w:div w:id="157353044">
                      <w:marLeft w:val="0"/>
                      <w:marRight w:val="0"/>
                      <w:marTop w:val="0"/>
                      <w:marBottom w:val="0"/>
                      <w:divBdr>
                        <w:top w:val="none" w:sz="0" w:space="0" w:color="auto"/>
                        <w:left w:val="none" w:sz="0" w:space="0" w:color="auto"/>
                        <w:bottom w:val="none" w:sz="0" w:space="0" w:color="auto"/>
                        <w:right w:val="none" w:sz="0" w:space="0" w:color="auto"/>
                      </w:divBdr>
                      <w:divsChild>
                        <w:div w:id="1573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2805">
      <w:marLeft w:val="0"/>
      <w:marRight w:val="0"/>
      <w:marTop w:val="0"/>
      <w:marBottom w:val="0"/>
      <w:divBdr>
        <w:top w:val="none" w:sz="0" w:space="0" w:color="auto"/>
        <w:left w:val="none" w:sz="0" w:space="0" w:color="auto"/>
        <w:bottom w:val="none" w:sz="0" w:space="0" w:color="auto"/>
        <w:right w:val="none" w:sz="0" w:space="0" w:color="auto"/>
      </w:divBdr>
    </w:div>
    <w:div w:id="157352819">
      <w:marLeft w:val="0"/>
      <w:marRight w:val="0"/>
      <w:marTop w:val="0"/>
      <w:marBottom w:val="0"/>
      <w:divBdr>
        <w:top w:val="none" w:sz="0" w:space="0" w:color="auto"/>
        <w:left w:val="none" w:sz="0" w:space="0" w:color="auto"/>
        <w:bottom w:val="none" w:sz="0" w:space="0" w:color="auto"/>
        <w:right w:val="none" w:sz="0" w:space="0" w:color="auto"/>
      </w:divBdr>
    </w:div>
    <w:div w:id="157352820">
      <w:marLeft w:val="0"/>
      <w:marRight w:val="0"/>
      <w:marTop w:val="0"/>
      <w:marBottom w:val="0"/>
      <w:divBdr>
        <w:top w:val="none" w:sz="0" w:space="0" w:color="auto"/>
        <w:left w:val="none" w:sz="0" w:space="0" w:color="auto"/>
        <w:bottom w:val="none" w:sz="0" w:space="0" w:color="auto"/>
        <w:right w:val="none" w:sz="0" w:space="0" w:color="auto"/>
      </w:divBdr>
    </w:div>
    <w:div w:id="157352824">
      <w:marLeft w:val="0"/>
      <w:marRight w:val="0"/>
      <w:marTop w:val="0"/>
      <w:marBottom w:val="0"/>
      <w:divBdr>
        <w:top w:val="single" w:sz="2" w:space="0" w:color="auto"/>
        <w:left w:val="single" w:sz="2" w:space="0" w:color="auto"/>
        <w:bottom w:val="single" w:sz="2" w:space="0" w:color="auto"/>
        <w:right w:val="single" w:sz="2" w:space="0" w:color="auto"/>
      </w:divBdr>
      <w:divsChild>
        <w:div w:id="157352814">
          <w:marLeft w:val="0"/>
          <w:marRight w:val="0"/>
          <w:marTop w:val="0"/>
          <w:marBottom w:val="0"/>
          <w:divBdr>
            <w:top w:val="none" w:sz="0" w:space="0" w:color="auto"/>
            <w:left w:val="none" w:sz="0" w:space="0" w:color="auto"/>
            <w:bottom w:val="none" w:sz="0" w:space="0" w:color="auto"/>
            <w:right w:val="none" w:sz="0" w:space="0" w:color="auto"/>
          </w:divBdr>
          <w:divsChild>
            <w:div w:id="157353101">
              <w:marLeft w:val="0"/>
              <w:marRight w:val="0"/>
              <w:marTop w:val="0"/>
              <w:marBottom w:val="0"/>
              <w:divBdr>
                <w:top w:val="none" w:sz="0" w:space="0" w:color="auto"/>
                <w:left w:val="none" w:sz="0" w:space="0" w:color="auto"/>
                <w:bottom w:val="none" w:sz="0" w:space="0" w:color="auto"/>
                <w:right w:val="none" w:sz="0" w:space="0" w:color="auto"/>
              </w:divBdr>
              <w:divsChild>
                <w:div w:id="157352902">
                  <w:marLeft w:val="0"/>
                  <w:marRight w:val="0"/>
                  <w:marTop w:val="0"/>
                  <w:marBottom w:val="150"/>
                  <w:divBdr>
                    <w:top w:val="none" w:sz="0" w:space="0" w:color="auto"/>
                    <w:left w:val="none" w:sz="0" w:space="0" w:color="auto"/>
                    <w:bottom w:val="none" w:sz="0" w:space="0" w:color="auto"/>
                    <w:right w:val="none" w:sz="0" w:space="0" w:color="auto"/>
                  </w:divBdr>
                  <w:divsChild>
                    <w:div w:id="157352749">
                      <w:marLeft w:val="0"/>
                      <w:marRight w:val="0"/>
                      <w:marTop w:val="0"/>
                      <w:marBottom w:val="0"/>
                      <w:divBdr>
                        <w:top w:val="none" w:sz="0" w:space="0" w:color="auto"/>
                        <w:left w:val="none" w:sz="0" w:space="0" w:color="auto"/>
                        <w:bottom w:val="single" w:sz="6" w:space="0" w:color="B7D7E1"/>
                        <w:right w:val="none" w:sz="0" w:space="0" w:color="auto"/>
                      </w:divBdr>
                      <w:divsChild>
                        <w:div w:id="1573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2827">
      <w:marLeft w:val="0"/>
      <w:marRight w:val="0"/>
      <w:marTop w:val="0"/>
      <w:marBottom w:val="0"/>
      <w:divBdr>
        <w:top w:val="none" w:sz="0" w:space="0" w:color="auto"/>
        <w:left w:val="none" w:sz="0" w:space="0" w:color="auto"/>
        <w:bottom w:val="none" w:sz="0" w:space="0" w:color="auto"/>
        <w:right w:val="none" w:sz="0" w:space="0" w:color="auto"/>
      </w:divBdr>
      <w:divsChild>
        <w:div w:id="157353356">
          <w:marLeft w:val="0"/>
          <w:marRight w:val="0"/>
          <w:marTop w:val="0"/>
          <w:marBottom w:val="0"/>
          <w:divBdr>
            <w:top w:val="none" w:sz="0" w:space="0" w:color="auto"/>
            <w:left w:val="none" w:sz="0" w:space="0" w:color="auto"/>
            <w:bottom w:val="none" w:sz="0" w:space="0" w:color="auto"/>
            <w:right w:val="none" w:sz="0" w:space="0" w:color="auto"/>
          </w:divBdr>
          <w:divsChild>
            <w:div w:id="157352677">
              <w:marLeft w:val="0"/>
              <w:marRight w:val="0"/>
              <w:marTop w:val="0"/>
              <w:marBottom w:val="0"/>
              <w:divBdr>
                <w:top w:val="none" w:sz="0" w:space="0" w:color="auto"/>
                <w:left w:val="none" w:sz="0" w:space="0" w:color="auto"/>
                <w:bottom w:val="none" w:sz="0" w:space="0" w:color="auto"/>
                <w:right w:val="none" w:sz="0" w:space="0" w:color="auto"/>
              </w:divBdr>
              <w:divsChild>
                <w:div w:id="157353319">
                  <w:marLeft w:val="4125"/>
                  <w:marRight w:val="0"/>
                  <w:marTop w:val="0"/>
                  <w:marBottom w:val="0"/>
                  <w:divBdr>
                    <w:top w:val="none" w:sz="0" w:space="0" w:color="auto"/>
                    <w:left w:val="none" w:sz="0" w:space="0" w:color="auto"/>
                    <w:bottom w:val="none" w:sz="0" w:space="0" w:color="auto"/>
                    <w:right w:val="none" w:sz="0" w:space="0" w:color="auto"/>
                  </w:divBdr>
                  <w:divsChild>
                    <w:div w:id="157352996">
                      <w:marLeft w:val="0"/>
                      <w:marRight w:val="0"/>
                      <w:marTop w:val="0"/>
                      <w:marBottom w:val="0"/>
                      <w:divBdr>
                        <w:top w:val="none" w:sz="0" w:space="0" w:color="auto"/>
                        <w:left w:val="none" w:sz="0" w:space="0" w:color="auto"/>
                        <w:bottom w:val="none" w:sz="0" w:space="0" w:color="auto"/>
                        <w:right w:val="none" w:sz="0" w:space="0" w:color="auto"/>
                      </w:divBdr>
                      <w:divsChild>
                        <w:div w:id="157353063">
                          <w:marLeft w:val="0"/>
                          <w:marRight w:val="0"/>
                          <w:marTop w:val="0"/>
                          <w:marBottom w:val="0"/>
                          <w:divBdr>
                            <w:top w:val="none" w:sz="0" w:space="0" w:color="auto"/>
                            <w:left w:val="none" w:sz="0" w:space="0" w:color="auto"/>
                            <w:bottom w:val="none" w:sz="0" w:space="0" w:color="auto"/>
                            <w:right w:val="none" w:sz="0" w:space="0" w:color="auto"/>
                          </w:divBdr>
                          <w:divsChild>
                            <w:div w:id="1573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2830">
      <w:marLeft w:val="0"/>
      <w:marRight w:val="0"/>
      <w:marTop w:val="0"/>
      <w:marBottom w:val="0"/>
      <w:divBdr>
        <w:top w:val="none" w:sz="0" w:space="0" w:color="auto"/>
        <w:left w:val="none" w:sz="0" w:space="0" w:color="auto"/>
        <w:bottom w:val="none" w:sz="0" w:space="0" w:color="auto"/>
        <w:right w:val="none" w:sz="0" w:space="0" w:color="auto"/>
      </w:divBdr>
    </w:div>
    <w:div w:id="157352833">
      <w:marLeft w:val="0"/>
      <w:marRight w:val="0"/>
      <w:marTop w:val="0"/>
      <w:marBottom w:val="0"/>
      <w:divBdr>
        <w:top w:val="none" w:sz="0" w:space="0" w:color="auto"/>
        <w:left w:val="none" w:sz="0" w:space="0" w:color="auto"/>
        <w:bottom w:val="none" w:sz="0" w:space="0" w:color="auto"/>
        <w:right w:val="none" w:sz="0" w:space="0" w:color="auto"/>
      </w:divBdr>
    </w:div>
    <w:div w:id="157352835">
      <w:marLeft w:val="0"/>
      <w:marRight w:val="0"/>
      <w:marTop w:val="0"/>
      <w:marBottom w:val="0"/>
      <w:divBdr>
        <w:top w:val="none" w:sz="0" w:space="0" w:color="auto"/>
        <w:left w:val="none" w:sz="0" w:space="0" w:color="auto"/>
        <w:bottom w:val="none" w:sz="0" w:space="0" w:color="auto"/>
        <w:right w:val="none" w:sz="0" w:space="0" w:color="auto"/>
      </w:divBdr>
    </w:div>
    <w:div w:id="157352837">
      <w:marLeft w:val="0"/>
      <w:marRight w:val="0"/>
      <w:marTop w:val="0"/>
      <w:marBottom w:val="0"/>
      <w:divBdr>
        <w:top w:val="none" w:sz="0" w:space="0" w:color="auto"/>
        <w:left w:val="none" w:sz="0" w:space="0" w:color="auto"/>
        <w:bottom w:val="none" w:sz="0" w:space="0" w:color="auto"/>
        <w:right w:val="none" w:sz="0" w:space="0" w:color="auto"/>
      </w:divBdr>
      <w:divsChild>
        <w:div w:id="157353338">
          <w:marLeft w:val="0"/>
          <w:marRight w:val="0"/>
          <w:marTop w:val="0"/>
          <w:marBottom w:val="0"/>
          <w:divBdr>
            <w:top w:val="none" w:sz="0" w:space="0" w:color="auto"/>
            <w:left w:val="none" w:sz="0" w:space="0" w:color="auto"/>
            <w:bottom w:val="none" w:sz="0" w:space="0" w:color="auto"/>
            <w:right w:val="none" w:sz="0" w:space="0" w:color="auto"/>
          </w:divBdr>
          <w:divsChild>
            <w:div w:id="157352971">
              <w:marLeft w:val="0"/>
              <w:marRight w:val="0"/>
              <w:marTop w:val="0"/>
              <w:marBottom w:val="150"/>
              <w:divBdr>
                <w:top w:val="none" w:sz="0" w:space="0" w:color="auto"/>
                <w:left w:val="none" w:sz="0" w:space="0" w:color="auto"/>
                <w:bottom w:val="none" w:sz="0" w:space="0" w:color="auto"/>
                <w:right w:val="none" w:sz="0" w:space="0" w:color="auto"/>
              </w:divBdr>
              <w:divsChild>
                <w:div w:id="1573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845">
      <w:marLeft w:val="0"/>
      <w:marRight w:val="0"/>
      <w:marTop w:val="0"/>
      <w:marBottom w:val="0"/>
      <w:divBdr>
        <w:top w:val="none" w:sz="0" w:space="0" w:color="auto"/>
        <w:left w:val="none" w:sz="0" w:space="0" w:color="auto"/>
        <w:bottom w:val="none" w:sz="0" w:space="0" w:color="auto"/>
        <w:right w:val="none" w:sz="0" w:space="0" w:color="auto"/>
      </w:divBdr>
    </w:div>
    <w:div w:id="157352847">
      <w:marLeft w:val="0"/>
      <w:marRight w:val="0"/>
      <w:marTop w:val="0"/>
      <w:marBottom w:val="0"/>
      <w:divBdr>
        <w:top w:val="none" w:sz="0" w:space="0" w:color="auto"/>
        <w:left w:val="none" w:sz="0" w:space="0" w:color="auto"/>
        <w:bottom w:val="none" w:sz="0" w:space="0" w:color="auto"/>
        <w:right w:val="none" w:sz="0" w:space="0" w:color="auto"/>
      </w:divBdr>
    </w:div>
    <w:div w:id="157352851">
      <w:marLeft w:val="0"/>
      <w:marRight w:val="0"/>
      <w:marTop w:val="0"/>
      <w:marBottom w:val="0"/>
      <w:divBdr>
        <w:top w:val="none" w:sz="0" w:space="0" w:color="auto"/>
        <w:left w:val="none" w:sz="0" w:space="0" w:color="auto"/>
        <w:bottom w:val="none" w:sz="0" w:space="0" w:color="auto"/>
        <w:right w:val="none" w:sz="0" w:space="0" w:color="auto"/>
      </w:divBdr>
    </w:div>
    <w:div w:id="157352856">
      <w:marLeft w:val="0"/>
      <w:marRight w:val="0"/>
      <w:marTop w:val="0"/>
      <w:marBottom w:val="0"/>
      <w:divBdr>
        <w:top w:val="none" w:sz="0" w:space="0" w:color="auto"/>
        <w:left w:val="none" w:sz="0" w:space="0" w:color="auto"/>
        <w:bottom w:val="none" w:sz="0" w:space="0" w:color="auto"/>
        <w:right w:val="none" w:sz="0" w:space="0" w:color="auto"/>
      </w:divBdr>
    </w:div>
    <w:div w:id="157352868">
      <w:marLeft w:val="0"/>
      <w:marRight w:val="0"/>
      <w:marTop w:val="0"/>
      <w:marBottom w:val="0"/>
      <w:divBdr>
        <w:top w:val="none" w:sz="0" w:space="0" w:color="auto"/>
        <w:left w:val="none" w:sz="0" w:space="0" w:color="auto"/>
        <w:bottom w:val="none" w:sz="0" w:space="0" w:color="auto"/>
        <w:right w:val="none" w:sz="0" w:space="0" w:color="auto"/>
      </w:divBdr>
      <w:divsChild>
        <w:div w:id="157352928">
          <w:marLeft w:val="0"/>
          <w:marRight w:val="0"/>
          <w:marTop w:val="0"/>
          <w:marBottom w:val="0"/>
          <w:divBdr>
            <w:top w:val="none" w:sz="0" w:space="0" w:color="auto"/>
            <w:left w:val="none" w:sz="0" w:space="0" w:color="auto"/>
            <w:bottom w:val="none" w:sz="0" w:space="0" w:color="auto"/>
            <w:right w:val="none" w:sz="0" w:space="0" w:color="auto"/>
          </w:divBdr>
          <w:divsChild>
            <w:div w:id="157353218">
              <w:marLeft w:val="0"/>
              <w:marRight w:val="0"/>
              <w:marTop w:val="0"/>
              <w:marBottom w:val="0"/>
              <w:divBdr>
                <w:top w:val="none" w:sz="0" w:space="0" w:color="auto"/>
                <w:left w:val="none" w:sz="0" w:space="0" w:color="auto"/>
                <w:bottom w:val="none" w:sz="0" w:space="0" w:color="auto"/>
                <w:right w:val="none" w:sz="0" w:space="0" w:color="auto"/>
              </w:divBdr>
              <w:divsChild>
                <w:div w:id="157352782">
                  <w:marLeft w:val="0"/>
                  <w:marRight w:val="0"/>
                  <w:marTop w:val="0"/>
                  <w:marBottom w:val="0"/>
                  <w:divBdr>
                    <w:top w:val="none" w:sz="0" w:space="0" w:color="auto"/>
                    <w:left w:val="none" w:sz="0" w:space="0" w:color="auto"/>
                    <w:bottom w:val="none" w:sz="0" w:space="0" w:color="auto"/>
                    <w:right w:val="none" w:sz="0" w:space="0" w:color="auto"/>
                  </w:divBdr>
                  <w:divsChild>
                    <w:div w:id="157353231">
                      <w:marLeft w:val="0"/>
                      <w:marRight w:val="0"/>
                      <w:marTop w:val="0"/>
                      <w:marBottom w:val="0"/>
                      <w:divBdr>
                        <w:top w:val="none" w:sz="0" w:space="0" w:color="auto"/>
                        <w:left w:val="none" w:sz="0" w:space="0" w:color="auto"/>
                        <w:bottom w:val="none" w:sz="0" w:space="0" w:color="auto"/>
                        <w:right w:val="none" w:sz="0" w:space="0" w:color="auto"/>
                      </w:divBdr>
                      <w:divsChild>
                        <w:div w:id="157352633">
                          <w:marLeft w:val="0"/>
                          <w:marRight w:val="0"/>
                          <w:marTop w:val="0"/>
                          <w:marBottom w:val="0"/>
                          <w:divBdr>
                            <w:top w:val="none" w:sz="0" w:space="0" w:color="auto"/>
                            <w:left w:val="none" w:sz="0" w:space="0" w:color="auto"/>
                            <w:bottom w:val="none" w:sz="0" w:space="0" w:color="auto"/>
                            <w:right w:val="none" w:sz="0" w:space="0" w:color="auto"/>
                          </w:divBdr>
                          <w:divsChild>
                            <w:div w:id="157352999">
                              <w:marLeft w:val="0"/>
                              <w:marRight w:val="0"/>
                              <w:marTop w:val="0"/>
                              <w:marBottom w:val="0"/>
                              <w:divBdr>
                                <w:top w:val="none" w:sz="0" w:space="0" w:color="auto"/>
                                <w:left w:val="none" w:sz="0" w:space="0" w:color="auto"/>
                                <w:bottom w:val="none" w:sz="0" w:space="0" w:color="auto"/>
                                <w:right w:val="none" w:sz="0" w:space="0" w:color="auto"/>
                              </w:divBdr>
                              <w:divsChild>
                                <w:div w:id="157352990">
                                  <w:marLeft w:val="0"/>
                                  <w:marRight w:val="0"/>
                                  <w:marTop w:val="0"/>
                                  <w:marBottom w:val="390"/>
                                  <w:divBdr>
                                    <w:top w:val="none" w:sz="0" w:space="0" w:color="auto"/>
                                    <w:left w:val="none" w:sz="0" w:space="0" w:color="auto"/>
                                    <w:bottom w:val="none" w:sz="0" w:space="0" w:color="auto"/>
                                    <w:right w:val="none" w:sz="0" w:space="0" w:color="auto"/>
                                  </w:divBdr>
                                  <w:divsChild>
                                    <w:div w:id="157352642">
                                      <w:marLeft w:val="0"/>
                                      <w:marRight w:val="0"/>
                                      <w:marTop w:val="0"/>
                                      <w:marBottom w:val="0"/>
                                      <w:divBdr>
                                        <w:top w:val="none" w:sz="0" w:space="0" w:color="auto"/>
                                        <w:left w:val="none" w:sz="0" w:space="0" w:color="auto"/>
                                        <w:bottom w:val="none" w:sz="0" w:space="0" w:color="auto"/>
                                        <w:right w:val="none" w:sz="0" w:space="0" w:color="auto"/>
                                      </w:divBdr>
                                      <w:divsChild>
                                        <w:div w:id="1573527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52871">
      <w:marLeft w:val="0"/>
      <w:marRight w:val="0"/>
      <w:marTop w:val="0"/>
      <w:marBottom w:val="0"/>
      <w:divBdr>
        <w:top w:val="none" w:sz="0" w:space="0" w:color="auto"/>
        <w:left w:val="none" w:sz="0" w:space="0" w:color="auto"/>
        <w:bottom w:val="none" w:sz="0" w:space="0" w:color="auto"/>
        <w:right w:val="none" w:sz="0" w:space="0" w:color="auto"/>
      </w:divBdr>
    </w:div>
    <w:div w:id="157352876">
      <w:marLeft w:val="0"/>
      <w:marRight w:val="0"/>
      <w:marTop w:val="0"/>
      <w:marBottom w:val="0"/>
      <w:divBdr>
        <w:top w:val="none" w:sz="0" w:space="0" w:color="auto"/>
        <w:left w:val="none" w:sz="0" w:space="0" w:color="auto"/>
        <w:bottom w:val="none" w:sz="0" w:space="0" w:color="auto"/>
        <w:right w:val="none" w:sz="0" w:space="0" w:color="auto"/>
      </w:divBdr>
    </w:div>
    <w:div w:id="157352877">
      <w:marLeft w:val="0"/>
      <w:marRight w:val="0"/>
      <w:marTop w:val="0"/>
      <w:marBottom w:val="0"/>
      <w:divBdr>
        <w:top w:val="none" w:sz="0" w:space="0" w:color="auto"/>
        <w:left w:val="none" w:sz="0" w:space="0" w:color="auto"/>
        <w:bottom w:val="none" w:sz="0" w:space="0" w:color="auto"/>
        <w:right w:val="none" w:sz="0" w:space="0" w:color="auto"/>
      </w:divBdr>
    </w:div>
    <w:div w:id="157352878">
      <w:marLeft w:val="0"/>
      <w:marRight w:val="0"/>
      <w:marTop w:val="0"/>
      <w:marBottom w:val="0"/>
      <w:divBdr>
        <w:top w:val="none" w:sz="0" w:space="0" w:color="auto"/>
        <w:left w:val="none" w:sz="0" w:space="0" w:color="auto"/>
        <w:bottom w:val="none" w:sz="0" w:space="0" w:color="auto"/>
        <w:right w:val="none" w:sz="0" w:space="0" w:color="auto"/>
      </w:divBdr>
      <w:divsChild>
        <w:div w:id="157353287">
          <w:marLeft w:val="0"/>
          <w:marRight w:val="0"/>
          <w:marTop w:val="0"/>
          <w:marBottom w:val="0"/>
          <w:divBdr>
            <w:top w:val="none" w:sz="0" w:space="0" w:color="auto"/>
            <w:left w:val="none" w:sz="0" w:space="0" w:color="auto"/>
            <w:bottom w:val="none" w:sz="0" w:space="0" w:color="auto"/>
            <w:right w:val="none" w:sz="0" w:space="0" w:color="auto"/>
          </w:divBdr>
          <w:divsChild>
            <w:div w:id="157353299">
              <w:marLeft w:val="0"/>
              <w:marRight w:val="0"/>
              <w:marTop w:val="0"/>
              <w:marBottom w:val="150"/>
              <w:divBdr>
                <w:top w:val="none" w:sz="0" w:space="0" w:color="auto"/>
                <w:left w:val="none" w:sz="0" w:space="0" w:color="auto"/>
                <w:bottom w:val="none" w:sz="0" w:space="0" w:color="auto"/>
                <w:right w:val="none" w:sz="0" w:space="0" w:color="auto"/>
              </w:divBdr>
              <w:divsChild>
                <w:div w:id="157353352">
                  <w:marLeft w:val="0"/>
                  <w:marRight w:val="0"/>
                  <w:marTop w:val="0"/>
                  <w:marBottom w:val="0"/>
                  <w:divBdr>
                    <w:top w:val="none" w:sz="0" w:space="0" w:color="auto"/>
                    <w:left w:val="none" w:sz="0" w:space="0" w:color="auto"/>
                    <w:bottom w:val="none" w:sz="0" w:space="0" w:color="auto"/>
                    <w:right w:val="none" w:sz="0" w:space="0" w:color="auto"/>
                  </w:divBdr>
                  <w:divsChild>
                    <w:div w:id="157353027">
                      <w:marLeft w:val="0"/>
                      <w:marRight w:val="0"/>
                      <w:marTop w:val="0"/>
                      <w:marBottom w:val="0"/>
                      <w:divBdr>
                        <w:top w:val="none" w:sz="0" w:space="0" w:color="auto"/>
                        <w:left w:val="none" w:sz="0" w:space="0" w:color="auto"/>
                        <w:bottom w:val="none" w:sz="0" w:space="0" w:color="auto"/>
                        <w:right w:val="none" w:sz="0" w:space="0" w:color="auto"/>
                      </w:divBdr>
                      <w:divsChild>
                        <w:div w:id="1573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2881">
      <w:marLeft w:val="0"/>
      <w:marRight w:val="0"/>
      <w:marTop w:val="0"/>
      <w:marBottom w:val="0"/>
      <w:divBdr>
        <w:top w:val="none" w:sz="0" w:space="0" w:color="auto"/>
        <w:left w:val="none" w:sz="0" w:space="0" w:color="auto"/>
        <w:bottom w:val="none" w:sz="0" w:space="0" w:color="auto"/>
        <w:right w:val="none" w:sz="0" w:space="0" w:color="auto"/>
      </w:divBdr>
    </w:div>
    <w:div w:id="157352883">
      <w:marLeft w:val="0"/>
      <w:marRight w:val="0"/>
      <w:marTop w:val="0"/>
      <w:marBottom w:val="0"/>
      <w:divBdr>
        <w:top w:val="none" w:sz="0" w:space="0" w:color="auto"/>
        <w:left w:val="none" w:sz="0" w:space="0" w:color="auto"/>
        <w:bottom w:val="none" w:sz="0" w:space="0" w:color="auto"/>
        <w:right w:val="none" w:sz="0" w:space="0" w:color="auto"/>
      </w:divBdr>
      <w:divsChild>
        <w:div w:id="157352829">
          <w:marLeft w:val="0"/>
          <w:marRight w:val="0"/>
          <w:marTop w:val="0"/>
          <w:marBottom w:val="150"/>
          <w:divBdr>
            <w:top w:val="single" w:sz="6" w:space="12" w:color="C9C9C9"/>
            <w:left w:val="single" w:sz="6" w:space="12" w:color="C9C9C9"/>
            <w:bottom w:val="single" w:sz="6" w:space="12" w:color="C9C9C9"/>
            <w:right w:val="single" w:sz="6" w:space="12" w:color="C9C9C9"/>
          </w:divBdr>
          <w:divsChild>
            <w:div w:id="157352712">
              <w:marLeft w:val="0"/>
              <w:marRight w:val="180"/>
              <w:marTop w:val="0"/>
              <w:marBottom w:val="0"/>
              <w:divBdr>
                <w:top w:val="none" w:sz="0" w:space="0" w:color="auto"/>
                <w:left w:val="none" w:sz="0" w:space="0" w:color="auto"/>
                <w:bottom w:val="none" w:sz="0" w:space="0" w:color="auto"/>
                <w:right w:val="none" w:sz="0" w:space="0" w:color="auto"/>
              </w:divBdr>
              <w:divsChild>
                <w:div w:id="157352657">
                  <w:marLeft w:val="0"/>
                  <w:marRight w:val="0"/>
                  <w:marTop w:val="225"/>
                  <w:marBottom w:val="0"/>
                  <w:divBdr>
                    <w:top w:val="none" w:sz="0" w:space="0" w:color="auto"/>
                    <w:left w:val="none" w:sz="0" w:space="0" w:color="auto"/>
                    <w:bottom w:val="single" w:sz="6" w:space="11" w:color="B1B1B1"/>
                    <w:right w:val="none" w:sz="0" w:space="0" w:color="auto"/>
                  </w:divBdr>
                </w:div>
              </w:divsChild>
            </w:div>
          </w:divsChild>
        </w:div>
      </w:divsChild>
    </w:div>
    <w:div w:id="157352886">
      <w:marLeft w:val="0"/>
      <w:marRight w:val="0"/>
      <w:marTop w:val="0"/>
      <w:marBottom w:val="0"/>
      <w:divBdr>
        <w:top w:val="none" w:sz="0" w:space="0" w:color="auto"/>
        <w:left w:val="none" w:sz="0" w:space="0" w:color="auto"/>
        <w:bottom w:val="none" w:sz="0" w:space="0" w:color="auto"/>
        <w:right w:val="none" w:sz="0" w:space="0" w:color="auto"/>
      </w:divBdr>
    </w:div>
    <w:div w:id="157352887">
      <w:marLeft w:val="0"/>
      <w:marRight w:val="0"/>
      <w:marTop w:val="0"/>
      <w:marBottom w:val="0"/>
      <w:divBdr>
        <w:top w:val="none" w:sz="0" w:space="0" w:color="auto"/>
        <w:left w:val="none" w:sz="0" w:space="0" w:color="auto"/>
        <w:bottom w:val="none" w:sz="0" w:space="0" w:color="auto"/>
        <w:right w:val="none" w:sz="0" w:space="0" w:color="auto"/>
      </w:divBdr>
      <w:divsChild>
        <w:div w:id="157353252">
          <w:marLeft w:val="0"/>
          <w:marRight w:val="0"/>
          <w:marTop w:val="0"/>
          <w:marBottom w:val="150"/>
          <w:divBdr>
            <w:top w:val="single" w:sz="6" w:space="12" w:color="C9C9C9"/>
            <w:left w:val="single" w:sz="6" w:space="12" w:color="C9C9C9"/>
            <w:bottom w:val="single" w:sz="6" w:space="12" w:color="C9C9C9"/>
            <w:right w:val="single" w:sz="6" w:space="12" w:color="C9C9C9"/>
          </w:divBdr>
          <w:divsChild>
            <w:div w:id="157352644">
              <w:marLeft w:val="0"/>
              <w:marRight w:val="180"/>
              <w:marTop w:val="0"/>
              <w:marBottom w:val="0"/>
              <w:divBdr>
                <w:top w:val="none" w:sz="0" w:space="0" w:color="auto"/>
                <w:left w:val="none" w:sz="0" w:space="0" w:color="auto"/>
                <w:bottom w:val="none" w:sz="0" w:space="0" w:color="auto"/>
                <w:right w:val="none" w:sz="0" w:space="0" w:color="auto"/>
              </w:divBdr>
              <w:divsChild>
                <w:div w:id="157352512">
                  <w:marLeft w:val="0"/>
                  <w:marRight w:val="0"/>
                  <w:marTop w:val="225"/>
                  <w:marBottom w:val="0"/>
                  <w:divBdr>
                    <w:top w:val="none" w:sz="0" w:space="0" w:color="auto"/>
                    <w:left w:val="none" w:sz="0" w:space="0" w:color="auto"/>
                    <w:bottom w:val="single" w:sz="6" w:space="11" w:color="B1B1B1"/>
                    <w:right w:val="none" w:sz="0" w:space="0" w:color="auto"/>
                  </w:divBdr>
                </w:div>
              </w:divsChild>
            </w:div>
          </w:divsChild>
        </w:div>
      </w:divsChild>
    </w:div>
    <w:div w:id="157352888">
      <w:marLeft w:val="0"/>
      <w:marRight w:val="0"/>
      <w:marTop w:val="0"/>
      <w:marBottom w:val="0"/>
      <w:divBdr>
        <w:top w:val="none" w:sz="0" w:space="0" w:color="auto"/>
        <w:left w:val="none" w:sz="0" w:space="0" w:color="auto"/>
        <w:bottom w:val="none" w:sz="0" w:space="0" w:color="auto"/>
        <w:right w:val="none" w:sz="0" w:space="0" w:color="auto"/>
      </w:divBdr>
    </w:div>
    <w:div w:id="157352892">
      <w:marLeft w:val="0"/>
      <w:marRight w:val="0"/>
      <w:marTop w:val="0"/>
      <w:marBottom w:val="0"/>
      <w:divBdr>
        <w:top w:val="none" w:sz="0" w:space="0" w:color="auto"/>
        <w:left w:val="none" w:sz="0" w:space="0" w:color="auto"/>
        <w:bottom w:val="none" w:sz="0" w:space="0" w:color="auto"/>
        <w:right w:val="none" w:sz="0" w:space="0" w:color="auto"/>
      </w:divBdr>
    </w:div>
    <w:div w:id="157352903">
      <w:marLeft w:val="0"/>
      <w:marRight w:val="0"/>
      <w:marTop w:val="0"/>
      <w:marBottom w:val="0"/>
      <w:divBdr>
        <w:top w:val="none" w:sz="0" w:space="0" w:color="auto"/>
        <w:left w:val="none" w:sz="0" w:space="0" w:color="auto"/>
        <w:bottom w:val="none" w:sz="0" w:space="0" w:color="auto"/>
        <w:right w:val="none" w:sz="0" w:space="0" w:color="auto"/>
      </w:divBdr>
    </w:div>
    <w:div w:id="157352914">
      <w:marLeft w:val="0"/>
      <w:marRight w:val="0"/>
      <w:marTop w:val="0"/>
      <w:marBottom w:val="0"/>
      <w:divBdr>
        <w:top w:val="none" w:sz="0" w:space="0" w:color="auto"/>
        <w:left w:val="none" w:sz="0" w:space="0" w:color="auto"/>
        <w:bottom w:val="none" w:sz="0" w:space="0" w:color="auto"/>
        <w:right w:val="none" w:sz="0" w:space="0" w:color="auto"/>
      </w:divBdr>
    </w:div>
    <w:div w:id="157352915">
      <w:marLeft w:val="0"/>
      <w:marRight w:val="0"/>
      <w:marTop w:val="0"/>
      <w:marBottom w:val="0"/>
      <w:divBdr>
        <w:top w:val="none" w:sz="0" w:space="0" w:color="auto"/>
        <w:left w:val="none" w:sz="0" w:space="0" w:color="auto"/>
        <w:bottom w:val="none" w:sz="0" w:space="0" w:color="auto"/>
        <w:right w:val="none" w:sz="0" w:space="0" w:color="auto"/>
      </w:divBdr>
    </w:div>
    <w:div w:id="157352917">
      <w:marLeft w:val="0"/>
      <w:marRight w:val="0"/>
      <w:marTop w:val="0"/>
      <w:marBottom w:val="0"/>
      <w:divBdr>
        <w:top w:val="none" w:sz="0" w:space="0" w:color="auto"/>
        <w:left w:val="none" w:sz="0" w:space="0" w:color="auto"/>
        <w:bottom w:val="none" w:sz="0" w:space="0" w:color="auto"/>
        <w:right w:val="none" w:sz="0" w:space="0" w:color="auto"/>
      </w:divBdr>
    </w:div>
    <w:div w:id="157352921">
      <w:marLeft w:val="0"/>
      <w:marRight w:val="0"/>
      <w:marTop w:val="0"/>
      <w:marBottom w:val="0"/>
      <w:divBdr>
        <w:top w:val="none" w:sz="0" w:space="0" w:color="auto"/>
        <w:left w:val="none" w:sz="0" w:space="0" w:color="auto"/>
        <w:bottom w:val="none" w:sz="0" w:space="0" w:color="auto"/>
        <w:right w:val="none" w:sz="0" w:space="0" w:color="auto"/>
      </w:divBdr>
      <w:divsChild>
        <w:div w:id="157353155">
          <w:marLeft w:val="0"/>
          <w:marRight w:val="0"/>
          <w:marTop w:val="0"/>
          <w:marBottom w:val="0"/>
          <w:divBdr>
            <w:top w:val="none" w:sz="0" w:space="0" w:color="auto"/>
            <w:left w:val="none" w:sz="0" w:space="0" w:color="auto"/>
            <w:bottom w:val="none" w:sz="0" w:space="0" w:color="auto"/>
            <w:right w:val="none" w:sz="0" w:space="0" w:color="auto"/>
          </w:divBdr>
          <w:divsChild>
            <w:div w:id="157352640">
              <w:marLeft w:val="0"/>
              <w:marRight w:val="0"/>
              <w:marTop w:val="0"/>
              <w:marBottom w:val="0"/>
              <w:divBdr>
                <w:top w:val="none" w:sz="0" w:space="0" w:color="auto"/>
                <w:left w:val="none" w:sz="0" w:space="0" w:color="auto"/>
                <w:bottom w:val="none" w:sz="0" w:space="0" w:color="auto"/>
                <w:right w:val="none" w:sz="0" w:space="0" w:color="auto"/>
              </w:divBdr>
              <w:divsChild>
                <w:div w:id="157352893">
                  <w:marLeft w:val="-225"/>
                  <w:marRight w:val="-225"/>
                  <w:marTop w:val="0"/>
                  <w:marBottom w:val="0"/>
                  <w:divBdr>
                    <w:top w:val="none" w:sz="0" w:space="0" w:color="auto"/>
                    <w:left w:val="none" w:sz="0" w:space="0" w:color="auto"/>
                    <w:bottom w:val="none" w:sz="0" w:space="0" w:color="auto"/>
                    <w:right w:val="none" w:sz="0" w:space="0" w:color="auto"/>
                  </w:divBdr>
                  <w:divsChild>
                    <w:div w:id="157352688">
                      <w:marLeft w:val="0"/>
                      <w:marRight w:val="0"/>
                      <w:marTop w:val="0"/>
                      <w:marBottom w:val="0"/>
                      <w:divBdr>
                        <w:top w:val="none" w:sz="0" w:space="0" w:color="auto"/>
                        <w:left w:val="none" w:sz="0" w:space="0" w:color="auto"/>
                        <w:bottom w:val="none" w:sz="0" w:space="0" w:color="auto"/>
                        <w:right w:val="none" w:sz="0" w:space="0" w:color="auto"/>
                      </w:divBdr>
                      <w:divsChild>
                        <w:div w:id="157352617">
                          <w:marLeft w:val="-225"/>
                          <w:marRight w:val="-225"/>
                          <w:marTop w:val="0"/>
                          <w:marBottom w:val="0"/>
                          <w:divBdr>
                            <w:top w:val="none" w:sz="0" w:space="0" w:color="auto"/>
                            <w:left w:val="none" w:sz="0" w:space="0" w:color="auto"/>
                            <w:bottom w:val="none" w:sz="0" w:space="0" w:color="auto"/>
                            <w:right w:val="none" w:sz="0" w:space="0" w:color="auto"/>
                          </w:divBdr>
                          <w:divsChild>
                            <w:div w:id="157352864">
                              <w:marLeft w:val="0"/>
                              <w:marRight w:val="0"/>
                              <w:marTop w:val="0"/>
                              <w:marBottom w:val="0"/>
                              <w:divBdr>
                                <w:top w:val="none" w:sz="0" w:space="0" w:color="auto"/>
                                <w:left w:val="none" w:sz="0" w:space="0" w:color="auto"/>
                                <w:bottom w:val="none" w:sz="0" w:space="0" w:color="auto"/>
                                <w:right w:val="none" w:sz="0" w:space="0" w:color="auto"/>
                              </w:divBdr>
                              <w:divsChild>
                                <w:div w:id="157352947">
                                  <w:marLeft w:val="0"/>
                                  <w:marRight w:val="0"/>
                                  <w:marTop w:val="0"/>
                                  <w:marBottom w:val="0"/>
                                  <w:divBdr>
                                    <w:top w:val="none" w:sz="0" w:space="0" w:color="auto"/>
                                    <w:left w:val="none" w:sz="0" w:space="0" w:color="auto"/>
                                    <w:bottom w:val="none" w:sz="0" w:space="0" w:color="auto"/>
                                    <w:right w:val="none" w:sz="0" w:space="0" w:color="auto"/>
                                  </w:divBdr>
                                  <w:divsChild>
                                    <w:div w:id="157352562">
                                      <w:marLeft w:val="-225"/>
                                      <w:marRight w:val="-225"/>
                                      <w:marTop w:val="0"/>
                                      <w:marBottom w:val="0"/>
                                      <w:divBdr>
                                        <w:top w:val="none" w:sz="0" w:space="0" w:color="auto"/>
                                        <w:left w:val="none" w:sz="0" w:space="0" w:color="auto"/>
                                        <w:bottom w:val="none" w:sz="0" w:space="0" w:color="auto"/>
                                        <w:right w:val="none" w:sz="0" w:space="0" w:color="auto"/>
                                      </w:divBdr>
                                      <w:divsChild>
                                        <w:div w:id="157353040">
                                          <w:marLeft w:val="0"/>
                                          <w:marRight w:val="0"/>
                                          <w:marTop w:val="0"/>
                                          <w:marBottom w:val="0"/>
                                          <w:divBdr>
                                            <w:top w:val="none" w:sz="0" w:space="0" w:color="auto"/>
                                            <w:left w:val="none" w:sz="0" w:space="0" w:color="auto"/>
                                            <w:bottom w:val="none" w:sz="0" w:space="0" w:color="auto"/>
                                            <w:right w:val="none" w:sz="0" w:space="0" w:color="auto"/>
                                          </w:divBdr>
                                          <w:divsChild>
                                            <w:div w:id="157352935">
                                              <w:marLeft w:val="0"/>
                                              <w:marRight w:val="0"/>
                                              <w:marTop w:val="0"/>
                                              <w:marBottom w:val="300"/>
                                              <w:divBdr>
                                                <w:top w:val="none" w:sz="0" w:space="0" w:color="auto"/>
                                                <w:left w:val="none" w:sz="0" w:space="0" w:color="auto"/>
                                                <w:bottom w:val="single" w:sz="6" w:space="8" w:color="E6E6E6"/>
                                                <w:right w:val="none" w:sz="0" w:space="0" w:color="auto"/>
                                              </w:divBdr>
                                            </w:div>
                                          </w:divsChild>
                                        </w:div>
                                      </w:divsChild>
                                    </w:div>
                                  </w:divsChild>
                                </w:div>
                              </w:divsChild>
                            </w:div>
                          </w:divsChild>
                        </w:div>
                      </w:divsChild>
                    </w:div>
                  </w:divsChild>
                </w:div>
              </w:divsChild>
            </w:div>
          </w:divsChild>
        </w:div>
      </w:divsChild>
    </w:div>
    <w:div w:id="157352923">
      <w:marLeft w:val="0"/>
      <w:marRight w:val="0"/>
      <w:marTop w:val="0"/>
      <w:marBottom w:val="0"/>
      <w:divBdr>
        <w:top w:val="none" w:sz="0" w:space="0" w:color="auto"/>
        <w:left w:val="none" w:sz="0" w:space="0" w:color="auto"/>
        <w:bottom w:val="none" w:sz="0" w:space="0" w:color="auto"/>
        <w:right w:val="none" w:sz="0" w:space="0" w:color="auto"/>
      </w:divBdr>
    </w:div>
    <w:div w:id="157352927">
      <w:marLeft w:val="0"/>
      <w:marRight w:val="0"/>
      <w:marTop w:val="0"/>
      <w:marBottom w:val="0"/>
      <w:divBdr>
        <w:top w:val="none" w:sz="0" w:space="0" w:color="auto"/>
        <w:left w:val="none" w:sz="0" w:space="0" w:color="auto"/>
        <w:bottom w:val="none" w:sz="0" w:space="0" w:color="auto"/>
        <w:right w:val="none" w:sz="0" w:space="0" w:color="auto"/>
      </w:divBdr>
    </w:div>
    <w:div w:id="157352929">
      <w:marLeft w:val="0"/>
      <w:marRight w:val="0"/>
      <w:marTop w:val="0"/>
      <w:marBottom w:val="0"/>
      <w:divBdr>
        <w:top w:val="none" w:sz="0" w:space="0" w:color="auto"/>
        <w:left w:val="none" w:sz="0" w:space="0" w:color="auto"/>
        <w:bottom w:val="none" w:sz="0" w:space="0" w:color="auto"/>
        <w:right w:val="none" w:sz="0" w:space="0" w:color="auto"/>
      </w:divBdr>
    </w:div>
    <w:div w:id="157352937">
      <w:marLeft w:val="0"/>
      <w:marRight w:val="0"/>
      <w:marTop w:val="0"/>
      <w:marBottom w:val="0"/>
      <w:divBdr>
        <w:top w:val="none" w:sz="0" w:space="0" w:color="auto"/>
        <w:left w:val="none" w:sz="0" w:space="0" w:color="auto"/>
        <w:bottom w:val="none" w:sz="0" w:space="0" w:color="auto"/>
        <w:right w:val="none" w:sz="0" w:space="0" w:color="auto"/>
      </w:divBdr>
    </w:div>
    <w:div w:id="157352940">
      <w:marLeft w:val="0"/>
      <w:marRight w:val="0"/>
      <w:marTop w:val="0"/>
      <w:marBottom w:val="0"/>
      <w:divBdr>
        <w:top w:val="none" w:sz="0" w:space="0" w:color="auto"/>
        <w:left w:val="none" w:sz="0" w:space="0" w:color="auto"/>
        <w:bottom w:val="none" w:sz="0" w:space="0" w:color="auto"/>
        <w:right w:val="none" w:sz="0" w:space="0" w:color="auto"/>
      </w:divBdr>
    </w:div>
    <w:div w:id="157352943">
      <w:marLeft w:val="0"/>
      <w:marRight w:val="0"/>
      <w:marTop w:val="0"/>
      <w:marBottom w:val="0"/>
      <w:divBdr>
        <w:top w:val="none" w:sz="0" w:space="0" w:color="auto"/>
        <w:left w:val="none" w:sz="0" w:space="0" w:color="auto"/>
        <w:bottom w:val="none" w:sz="0" w:space="0" w:color="auto"/>
        <w:right w:val="none" w:sz="0" w:space="0" w:color="auto"/>
      </w:divBdr>
      <w:divsChild>
        <w:div w:id="157352716">
          <w:marLeft w:val="0"/>
          <w:marRight w:val="0"/>
          <w:marTop w:val="0"/>
          <w:marBottom w:val="0"/>
          <w:divBdr>
            <w:top w:val="none" w:sz="0" w:space="0" w:color="auto"/>
            <w:left w:val="none" w:sz="0" w:space="0" w:color="auto"/>
            <w:bottom w:val="none" w:sz="0" w:space="0" w:color="auto"/>
            <w:right w:val="none" w:sz="0" w:space="0" w:color="auto"/>
          </w:divBdr>
          <w:divsChild>
            <w:div w:id="157353235">
              <w:marLeft w:val="0"/>
              <w:marRight w:val="0"/>
              <w:marTop w:val="0"/>
              <w:marBottom w:val="150"/>
              <w:divBdr>
                <w:top w:val="none" w:sz="0" w:space="0" w:color="auto"/>
                <w:left w:val="none" w:sz="0" w:space="0" w:color="auto"/>
                <w:bottom w:val="none" w:sz="0" w:space="0" w:color="auto"/>
                <w:right w:val="none" w:sz="0" w:space="0" w:color="auto"/>
              </w:divBdr>
              <w:divsChild>
                <w:div w:id="1573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944">
      <w:marLeft w:val="0"/>
      <w:marRight w:val="0"/>
      <w:marTop w:val="0"/>
      <w:marBottom w:val="0"/>
      <w:divBdr>
        <w:top w:val="none" w:sz="0" w:space="0" w:color="auto"/>
        <w:left w:val="none" w:sz="0" w:space="0" w:color="auto"/>
        <w:bottom w:val="none" w:sz="0" w:space="0" w:color="auto"/>
        <w:right w:val="none" w:sz="0" w:space="0" w:color="auto"/>
      </w:divBdr>
    </w:div>
    <w:div w:id="157352950">
      <w:marLeft w:val="0"/>
      <w:marRight w:val="0"/>
      <w:marTop w:val="0"/>
      <w:marBottom w:val="0"/>
      <w:divBdr>
        <w:top w:val="none" w:sz="0" w:space="0" w:color="auto"/>
        <w:left w:val="none" w:sz="0" w:space="0" w:color="auto"/>
        <w:bottom w:val="none" w:sz="0" w:space="0" w:color="auto"/>
        <w:right w:val="none" w:sz="0" w:space="0" w:color="auto"/>
      </w:divBdr>
    </w:div>
    <w:div w:id="157352952">
      <w:marLeft w:val="0"/>
      <w:marRight w:val="0"/>
      <w:marTop w:val="0"/>
      <w:marBottom w:val="0"/>
      <w:divBdr>
        <w:top w:val="none" w:sz="0" w:space="0" w:color="auto"/>
        <w:left w:val="none" w:sz="0" w:space="0" w:color="auto"/>
        <w:bottom w:val="none" w:sz="0" w:space="0" w:color="auto"/>
        <w:right w:val="none" w:sz="0" w:space="0" w:color="auto"/>
      </w:divBdr>
      <w:divsChild>
        <w:div w:id="157352520">
          <w:marLeft w:val="0"/>
          <w:marRight w:val="0"/>
          <w:marTop w:val="0"/>
          <w:marBottom w:val="0"/>
          <w:divBdr>
            <w:top w:val="none" w:sz="0" w:space="0" w:color="auto"/>
            <w:left w:val="none" w:sz="0" w:space="0" w:color="auto"/>
            <w:bottom w:val="none" w:sz="0" w:space="0" w:color="auto"/>
            <w:right w:val="none" w:sz="0" w:space="0" w:color="auto"/>
          </w:divBdr>
          <w:divsChild>
            <w:div w:id="157352530">
              <w:marLeft w:val="0"/>
              <w:marRight w:val="0"/>
              <w:marTop w:val="0"/>
              <w:marBottom w:val="150"/>
              <w:divBdr>
                <w:top w:val="none" w:sz="0" w:space="0" w:color="auto"/>
                <w:left w:val="none" w:sz="0" w:space="0" w:color="auto"/>
                <w:bottom w:val="none" w:sz="0" w:space="0" w:color="auto"/>
                <w:right w:val="none" w:sz="0" w:space="0" w:color="auto"/>
              </w:divBdr>
              <w:divsChild>
                <w:div w:id="1573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954">
      <w:marLeft w:val="0"/>
      <w:marRight w:val="0"/>
      <w:marTop w:val="0"/>
      <w:marBottom w:val="0"/>
      <w:divBdr>
        <w:top w:val="none" w:sz="0" w:space="0" w:color="auto"/>
        <w:left w:val="none" w:sz="0" w:space="0" w:color="auto"/>
        <w:bottom w:val="none" w:sz="0" w:space="0" w:color="auto"/>
        <w:right w:val="none" w:sz="0" w:space="0" w:color="auto"/>
      </w:divBdr>
    </w:div>
    <w:div w:id="157352957">
      <w:marLeft w:val="0"/>
      <w:marRight w:val="0"/>
      <w:marTop w:val="0"/>
      <w:marBottom w:val="0"/>
      <w:divBdr>
        <w:top w:val="none" w:sz="0" w:space="0" w:color="auto"/>
        <w:left w:val="none" w:sz="0" w:space="0" w:color="auto"/>
        <w:bottom w:val="none" w:sz="0" w:space="0" w:color="auto"/>
        <w:right w:val="none" w:sz="0" w:space="0" w:color="auto"/>
      </w:divBdr>
      <w:divsChild>
        <w:div w:id="157353008">
          <w:marLeft w:val="0"/>
          <w:marRight w:val="0"/>
          <w:marTop w:val="240"/>
          <w:marBottom w:val="240"/>
          <w:divBdr>
            <w:top w:val="none" w:sz="0" w:space="0" w:color="auto"/>
            <w:left w:val="none" w:sz="0" w:space="0" w:color="auto"/>
            <w:bottom w:val="none" w:sz="0" w:space="0" w:color="auto"/>
            <w:right w:val="none" w:sz="0" w:space="0" w:color="auto"/>
          </w:divBdr>
        </w:div>
        <w:div w:id="157353378">
          <w:marLeft w:val="0"/>
          <w:marRight w:val="0"/>
          <w:marTop w:val="240"/>
          <w:marBottom w:val="240"/>
          <w:divBdr>
            <w:top w:val="none" w:sz="0" w:space="0" w:color="auto"/>
            <w:left w:val="none" w:sz="0" w:space="0" w:color="auto"/>
            <w:bottom w:val="none" w:sz="0" w:space="0" w:color="auto"/>
            <w:right w:val="none" w:sz="0" w:space="0" w:color="auto"/>
          </w:divBdr>
        </w:div>
      </w:divsChild>
    </w:div>
    <w:div w:id="157352958">
      <w:marLeft w:val="0"/>
      <w:marRight w:val="0"/>
      <w:marTop w:val="0"/>
      <w:marBottom w:val="0"/>
      <w:divBdr>
        <w:top w:val="none" w:sz="0" w:space="0" w:color="auto"/>
        <w:left w:val="none" w:sz="0" w:space="0" w:color="auto"/>
        <w:bottom w:val="none" w:sz="0" w:space="0" w:color="auto"/>
        <w:right w:val="none" w:sz="0" w:space="0" w:color="auto"/>
      </w:divBdr>
    </w:div>
    <w:div w:id="157352961">
      <w:marLeft w:val="0"/>
      <w:marRight w:val="0"/>
      <w:marTop w:val="0"/>
      <w:marBottom w:val="0"/>
      <w:divBdr>
        <w:top w:val="none" w:sz="0" w:space="0" w:color="auto"/>
        <w:left w:val="none" w:sz="0" w:space="0" w:color="auto"/>
        <w:bottom w:val="none" w:sz="0" w:space="0" w:color="auto"/>
        <w:right w:val="none" w:sz="0" w:space="0" w:color="auto"/>
      </w:divBdr>
      <w:divsChild>
        <w:div w:id="157353364">
          <w:marLeft w:val="0"/>
          <w:marRight w:val="0"/>
          <w:marTop w:val="0"/>
          <w:marBottom w:val="0"/>
          <w:divBdr>
            <w:top w:val="none" w:sz="0" w:space="0" w:color="auto"/>
            <w:left w:val="none" w:sz="0" w:space="0" w:color="auto"/>
            <w:bottom w:val="none" w:sz="0" w:space="0" w:color="auto"/>
            <w:right w:val="none" w:sz="0" w:space="0" w:color="auto"/>
          </w:divBdr>
          <w:divsChild>
            <w:div w:id="157353262">
              <w:marLeft w:val="0"/>
              <w:marRight w:val="0"/>
              <w:marTop w:val="0"/>
              <w:marBottom w:val="150"/>
              <w:divBdr>
                <w:top w:val="none" w:sz="0" w:space="0" w:color="auto"/>
                <w:left w:val="none" w:sz="0" w:space="0" w:color="auto"/>
                <w:bottom w:val="none" w:sz="0" w:space="0" w:color="auto"/>
                <w:right w:val="none" w:sz="0" w:space="0" w:color="auto"/>
              </w:divBdr>
              <w:divsChild>
                <w:div w:id="1573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967">
      <w:marLeft w:val="0"/>
      <w:marRight w:val="0"/>
      <w:marTop w:val="0"/>
      <w:marBottom w:val="0"/>
      <w:divBdr>
        <w:top w:val="none" w:sz="0" w:space="0" w:color="auto"/>
        <w:left w:val="none" w:sz="0" w:space="0" w:color="auto"/>
        <w:bottom w:val="none" w:sz="0" w:space="0" w:color="auto"/>
        <w:right w:val="none" w:sz="0" w:space="0" w:color="auto"/>
      </w:divBdr>
      <w:divsChild>
        <w:div w:id="157352527">
          <w:marLeft w:val="0"/>
          <w:marRight w:val="0"/>
          <w:marTop w:val="0"/>
          <w:marBottom w:val="0"/>
          <w:divBdr>
            <w:top w:val="none" w:sz="0" w:space="0" w:color="auto"/>
            <w:left w:val="none" w:sz="0" w:space="0" w:color="auto"/>
            <w:bottom w:val="none" w:sz="0" w:space="0" w:color="auto"/>
            <w:right w:val="none" w:sz="0" w:space="0" w:color="auto"/>
          </w:divBdr>
          <w:divsChild>
            <w:div w:id="157353260">
              <w:marLeft w:val="0"/>
              <w:marRight w:val="0"/>
              <w:marTop w:val="0"/>
              <w:marBottom w:val="150"/>
              <w:divBdr>
                <w:top w:val="none" w:sz="0" w:space="0" w:color="auto"/>
                <w:left w:val="none" w:sz="0" w:space="0" w:color="auto"/>
                <w:bottom w:val="none" w:sz="0" w:space="0" w:color="auto"/>
                <w:right w:val="none" w:sz="0" w:space="0" w:color="auto"/>
              </w:divBdr>
              <w:divsChild>
                <w:div w:id="1573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973">
      <w:marLeft w:val="0"/>
      <w:marRight w:val="0"/>
      <w:marTop w:val="0"/>
      <w:marBottom w:val="0"/>
      <w:divBdr>
        <w:top w:val="none" w:sz="0" w:space="0" w:color="auto"/>
        <w:left w:val="none" w:sz="0" w:space="0" w:color="auto"/>
        <w:bottom w:val="none" w:sz="0" w:space="0" w:color="auto"/>
        <w:right w:val="none" w:sz="0" w:space="0" w:color="auto"/>
      </w:divBdr>
    </w:div>
    <w:div w:id="157352975">
      <w:marLeft w:val="0"/>
      <w:marRight w:val="0"/>
      <w:marTop w:val="0"/>
      <w:marBottom w:val="0"/>
      <w:divBdr>
        <w:top w:val="none" w:sz="0" w:space="0" w:color="auto"/>
        <w:left w:val="none" w:sz="0" w:space="0" w:color="auto"/>
        <w:bottom w:val="none" w:sz="0" w:space="0" w:color="auto"/>
        <w:right w:val="none" w:sz="0" w:space="0" w:color="auto"/>
      </w:divBdr>
    </w:div>
    <w:div w:id="157352979">
      <w:marLeft w:val="0"/>
      <w:marRight w:val="0"/>
      <w:marTop w:val="0"/>
      <w:marBottom w:val="0"/>
      <w:divBdr>
        <w:top w:val="none" w:sz="0" w:space="0" w:color="auto"/>
        <w:left w:val="none" w:sz="0" w:space="0" w:color="auto"/>
        <w:bottom w:val="none" w:sz="0" w:space="0" w:color="auto"/>
        <w:right w:val="none" w:sz="0" w:space="0" w:color="auto"/>
      </w:divBdr>
      <w:divsChild>
        <w:div w:id="157353289">
          <w:marLeft w:val="0"/>
          <w:marRight w:val="0"/>
          <w:marTop w:val="0"/>
          <w:marBottom w:val="0"/>
          <w:divBdr>
            <w:top w:val="single" w:sz="6" w:space="0" w:color="EDEDED"/>
            <w:left w:val="none" w:sz="0" w:space="0" w:color="auto"/>
            <w:bottom w:val="single" w:sz="6" w:space="23" w:color="FFFFFF"/>
            <w:right w:val="none" w:sz="0" w:space="0" w:color="auto"/>
          </w:divBdr>
          <w:divsChild>
            <w:div w:id="157353140">
              <w:marLeft w:val="0"/>
              <w:marRight w:val="0"/>
              <w:marTop w:val="0"/>
              <w:marBottom w:val="0"/>
              <w:divBdr>
                <w:top w:val="none" w:sz="0" w:space="0" w:color="auto"/>
                <w:left w:val="none" w:sz="0" w:space="0" w:color="auto"/>
                <w:bottom w:val="none" w:sz="0" w:space="0" w:color="auto"/>
                <w:right w:val="none" w:sz="0" w:space="0" w:color="auto"/>
              </w:divBdr>
              <w:divsChild>
                <w:div w:id="157353178">
                  <w:marLeft w:val="0"/>
                  <w:marRight w:val="0"/>
                  <w:marTop w:val="0"/>
                  <w:marBottom w:val="0"/>
                  <w:divBdr>
                    <w:top w:val="none" w:sz="0" w:space="0" w:color="auto"/>
                    <w:left w:val="none" w:sz="0" w:space="0" w:color="auto"/>
                    <w:bottom w:val="none" w:sz="0" w:space="0" w:color="auto"/>
                    <w:right w:val="none" w:sz="0" w:space="0" w:color="auto"/>
                  </w:divBdr>
                  <w:divsChild>
                    <w:div w:id="157352780">
                      <w:marLeft w:val="0"/>
                      <w:marRight w:val="0"/>
                      <w:marTop w:val="0"/>
                      <w:marBottom w:val="0"/>
                      <w:divBdr>
                        <w:top w:val="none" w:sz="0" w:space="0" w:color="auto"/>
                        <w:left w:val="none" w:sz="0" w:space="0" w:color="auto"/>
                        <w:bottom w:val="none" w:sz="0" w:space="0" w:color="auto"/>
                        <w:right w:val="none" w:sz="0" w:space="0" w:color="auto"/>
                      </w:divBdr>
                      <w:divsChild>
                        <w:div w:id="1573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2986">
      <w:marLeft w:val="0"/>
      <w:marRight w:val="0"/>
      <w:marTop w:val="0"/>
      <w:marBottom w:val="0"/>
      <w:divBdr>
        <w:top w:val="none" w:sz="0" w:space="0" w:color="auto"/>
        <w:left w:val="none" w:sz="0" w:space="0" w:color="auto"/>
        <w:bottom w:val="none" w:sz="0" w:space="0" w:color="auto"/>
        <w:right w:val="none" w:sz="0" w:space="0" w:color="auto"/>
      </w:divBdr>
    </w:div>
    <w:div w:id="157352994">
      <w:marLeft w:val="0"/>
      <w:marRight w:val="0"/>
      <w:marTop w:val="0"/>
      <w:marBottom w:val="0"/>
      <w:divBdr>
        <w:top w:val="none" w:sz="0" w:space="0" w:color="auto"/>
        <w:left w:val="none" w:sz="0" w:space="0" w:color="auto"/>
        <w:bottom w:val="none" w:sz="0" w:space="0" w:color="auto"/>
        <w:right w:val="none" w:sz="0" w:space="0" w:color="auto"/>
      </w:divBdr>
    </w:div>
    <w:div w:id="157352995">
      <w:marLeft w:val="0"/>
      <w:marRight w:val="0"/>
      <w:marTop w:val="0"/>
      <w:marBottom w:val="0"/>
      <w:divBdr>
        <w:top w:val="none" w:sz="0" w:space="0" w:color="auto"/>
        <w:left w:val="none" w:sz="0" w:space="0" w:color="auto"/>
        <w:bottom w:val="none" w:sz="0" w:space="0" w:color="auto"/>
        <w:right w:val="none" w:sz="0" w:space="0" w:color="auto"/>
      </w:divBdr>
      <w:divsChild>
        <w:div w:id="157352980">
          <w:marLeft w:val="0"/>
          <w:marRight w:val="0"/>
          <w:marTop w:val="0"/>
          <w:marBottom w:val="0"/>
          <w:divBdr>
            <w:top w:val="none" w:sz="0" w:space="0" w:color="auto"/>
            <w:left w:val="none" w:sz="0" w:space="0" w:color="auto"/>
            <w:bottom w:val="none" w:sz="0" w:space="0" w:color="auto"/>
            <w:right w:val="none" w:sz="0" w:space="0" w:color="auto"/>
          </w:divBdr>
          <w:divsChild>
            <w:div w:id="157352817">
              <w:marLeft w:val="0"/>
              <w:marRight w:val="0"/>
              <w:marTop w:val="0"/>
              <w:marBottom w:val="0"/>
              <w:divBdr>
                <w:top w:val="none" w:sz="0" w:space="0" w:color="auto"/>
                <w:left w:val="none" w:sz="0" w:space="0" w:color="auto"/>
                <w:bottom w:val="none" w:sz="0" w:space="0" w:color="auto"/>
                <w:right w:val="none" w:sz="0" w:space="0" w:color="auto"/>
              </w:divBdr>
              <w:divsChild>
                <w:div w:id="157352661">
                  <w:marLeft w:val="0"/>
                  <w:marRight w:val="0"/>
                  <w:marTop w:val="0"/>
                  <w:marBottom w:val="0"/>
                  <w:divBdr>
                    <w:top w:val="none" w:sz="0" w:space="0" w:color="auto"/>
                    <w:left w:val="none" w:sz="0" w:space="0" w:color="auto"/>
                    <w:bottom w:val="none" w:sz="0" w:space="0" w:color="auto"/>
                    <w:right w:val="none" w:sz="0" w:space="0" w:color="auto"/>
                  </w:divBdr>
                  <w:divsChild>
                    <w:div w:id="157352974">
                      <w:marLeft w:val="0"/>
                      <w:marRight w:val="0"/>
                      <w:marTop w:val="0"/>
                      <w:marBottom w:val="0"/>
                      <w:divBdr>
                        <w:top w:val="none" w:sz="0" w:space="0" w:color="auto"/>
                        <w:left w:val="none" w:sz="0" w:space="0" w:color="auto"/>
                        <w:bottom w:val="none" w:sz="0" w:space="0" w:color="auto"/>
                        <w:right w:val="none" w:sz="0" w:space="0" w:color="auto"/>
                      </w:divBdr>
                      <w:divsChild>
                        <w:div w:id="157352700">
                          <w:marLeft w:val="0"/>
                          <w:marRight w:val="0"/>
                          <w:marTop w:val="0"/>
                          <w:marBottom w:val="0"/>
                          <w:divBdr>
                            <w:top w:val="none" w:sz="0" w:space="0" w:color="auto"/>
                            <w:left w:val="none" w:sz="0" w:space="0" w:color="auto"/>
                            <w:bottom w:val="none" w:sz="0" w:space="0" w:color="auto"/>
                            <w:right w:val="none" w:sz="0" w:space="0" w:color="auto"/>
                          </w:divBdr>
                          <w:divsChild>
                            <w:div w:id="157352899">
                              <w:marLeft w:val="0"/>
                              <w:marRight w:val="0"/>
                              <w:marTop w:val="0"/>
                              <w:marBottom w:val="0"/>
                              <w:divBdr>
                                <w:top w:val="none" w:sz="0" w:space="0" w:color="auto"/>
                                <w:left w:val="none" w:sz="0" w:space="0" w:color="auto"/>
                                <w:bottom w:val="none" w:sz="0" w:space="0" w:color="auto"/>
                                <w:right w:val="none" w:sz="0" w:space="0" w:color="auto"/>
                              </w:divBdr>
                              <w:divsChild>
                                <w:div w:id="157352536">
                                  <w:marLeft w:val="0"/>
                                  <w:marRight w:val="0"/>
                                  <w:marTop w:val="0"/>
                                  <w:marBottom w:val="390"/>
                                  <w:divBdr>
                                    <w:top w:val="none" w:sz="0" w:space="0" w:color="auto"/>
                                    <w:left w:val="none" w:sz="0" w:space="0" w:color="auto"/>
                                    <w:bottom w:val="none" w:sz="0" w:space="0" w:color="auto"/>
                                    <w:right w:val="none" w:sz="0" w:space="0" w:color="auto"/>
                                  </w:divBdr>
                                  <w:divsChild>
                                    <w:div w:id="157352800">
                                      <w:marLeft w:val="0"/>
                                      <w:marRight w:val="0"/>
                                      <w:marTop w:val="0"/>
                                      <w:marBottom w:val="0"/>
                                      <w:divBdr>
                                        <w:top w:val="none" w:sz="0" w:space="0" w:color="auto"/>
                                        <w:left w:val="none" w:sz="0" w:space="0" w:color="auto"/>
                                        <w:bottom w:val="none" w:sz="0" w:space="0" w:color="auto"/>
                                        <w:right w:val="none" w:sz="0" w:space="0" w:color="auto"/>
                                      </w:divBdr>
                                      <w:divsChild>
                                        <w:div w:id="1573525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53001">
      <w:marLeft w:val="0"/>
      <w:marRight w:val="0"/>
      <w:marTop w:val="0"/>
      <w:marBottom w:val="0"/>
      <w:divBdr>
        <w:top w:val="none" w:sz="0" w:space="0" w:color="auto"/>
        <w:left w:val="none" w:sz="0" w:space="0" w:color="auto"/>
        <w:bottom w:val="none" w:sz="0" w:space="0" w:color="auto"/>
        <w:right w:val="none" w:sz="0" w:space="0" w:color="auto"/>
      </w:divBdr>
      <w:divsChild>
        <w:div w:id="157353259">
          <w:marLeft w:val="0"/>
          <w:marRight w:val="0"/>
          <w:marTop w:val="0"/>
          <w:marBottom w:val="150"/>
          <w:divBdr>
            <w:top w:val="single" w:sz="6" w:space="12" w:color="C9C9C9"/>
            <w:left w:val="single" w:sz="6" w:space="12" w:color="C9C9C9"/>
            <w:bottom w:val="single" w:sz="6" w:space="12" w:color="C9C9C9"/>
            <w:right w:val="single" w:sz="6" w:space="12" w:color="C9C9C9"/>
          </w:divBdr>
          <w:divsChild>
            <w:div w:id="157352831">
              <w:marLeft w:val="0"/>
              <w:marRight w:val="180"/>
              <w:marTop w:val="0"/>
              <w:marBottom w:val="0"/>
              <w:divBdr>
                <w:top w:val="none" w:sz="0" w:space="0" w:color="auto"/>
                <w:left w:val="none" w:sz="0" w:space="0" w:color="auto"/>
                <w:bottom w:val="none" w:sz="0" w:space="0" w:color="auto"/>
                <w:right w:val="none" w:sz="0" w:space="0" w:color="auto"/>
              </w:divBdr>
              <w:divsChild>
                <w:div w:id="157352516">
                  <w:marLeft w:val="0"/>
                  <w:marRight w:val="0"/>
                  <w:marTop w:val="225"/>
                  <w:marBottom w:val="0"/>
                  <w:divBdr>
                    <w:top w:val="none" w:sz="0" w:space="0" w:color="auto"/>
                    <w:left w:val="none" w:sz="0" w:space="0" w:color="auto"/>
                    <w:bottom w:val="single" w:sz="6" w:space="11" w:color="B1B1B1"/>
                    <w:right w:val="none" w:sz="0" w:space="0" w:color="auto"/>
                  </w:divBdr>
                </w:div>
              </w:divsChild>
            </w:div>
          </w:divsChild>
        </w:div>
      </w:divsChild>
    </w:div>
    <w:div w:id="157353004">
      <w:marLeft w:val="0"/>
      <w:marRight w:val="0"/>
      <w:marTop w:val="0"/>
      <w:marBottom w:val="0"/>
      <w:divBdr>
        <w:top w:val="none" w:sz="0" w:space="0" w:color="auto"/>
        <w:left w:val="none" w:sz="0" w:space="0" w:color="auto"/>
        <w:bottom w:val="none" w:sz="0" w:space="0" w:color="auto"/>
        <w:right w:val="none" w:sz="0" w:space="0" w:color="auto"/>
      </w:divBdr>
    </w:div>
    <w:div w:id="157353005">
      <w:marLeft w:val="0"/>
      <w:marRight w:val="0"/>
      <w:marTop w:val="0"/>
      <w:marBottom w:val="0"/>
      <w:divBdr>
        <w:top w:val="none" w:sz="0" w:space="0" w:color="auto"/>
        <w:left w:val="none" w:sz="0" w:space="0" w:color="auto"/>
        <w:bottom w:val="none" w:sz="0" w:space="0" w:color="auto"/>
        <w:right w:val="none" w:sz="0" w:space="0" w:color="auto"/>
      </w:divBdr>
    </w:div>
    <w:div w:id="157353009">
      <w:marLeft w:val="0"/>
      <w:marRight w:val="0"/>
      <w:marTop w:val="0"/>
      <w:marBottom w:val="0"/>
      <w:divBdr>
        <w:top w:val="none" w:sz="0" w:space="0" w:color="auto"/>
        <w:left w:val="none" w:sz="0" w:space="0" w:color="auto"/>
        <w:bottom w:val="none" w:sz="0" w:space="0" w:color="auto"/>
        <w:right w:val="none" w:sz="0" w:space="0" w:color="auto"/>
      </w:divBdr>
      <w:divsChild>
        <w:div w:id="157353315">
          <w:marLeft w:val="0"/>
          <w:marRight w:val="0"/>
          <w:marTop w:val="0"/>
          <w:marBottom w:val="150"/>
          <w:divBdr>
            <w:top w:val="single" w:sz="6" w:space="12" w:color="C9C9C9"/>
            <w:left w:val="single" w:sz="6" w:space="12" w:color="C9C9C9"/>
            <w:bottom w:val="single" w:sz="6" w:space="12" w:color="C9C9C9"/>
            <w:right w:val="single" w:sz="6" w:space="12" w:color="C9C9C9"/>
          </w:divBdr>
          <w:divsChild>
            <w:div w:id="157352577">
              <w:marLeft w:val="0"/>
              <w:marRight w:val="180"/>
              <w:marTop w:val="0"/>
              <w:marBottom w:val="0"/>
              <w:divBdr>
                <w:top w:val="none" w:sz="0" w:space="0" w:color="auto"/>
                <w:left w:val="none" w:sz="0" w:space="0" w:color="auto"/>
                <w:bottom w:val="none" w:sz="0" w:space="0" w:color="auto"/>
                <w:right w:val="none" w:sz="0" w:space="0" w:color="auto"/>
              </w:divBdr>
              <w:divsChild>
                <w:div w:id="157352740">
                  <w:marLeft w:val="0"/>
                  <w:marRight w:val="0"/>
                  <w:marTop w:val="225"/>
                  <w:marBottom w:val="0"/>
                  <w:divBdr>
                    <w:top w:val="none" w:sz="0" w:space="0" w:color="auto"/>
                    <w:left w:val="none" w:sz="0" w:space="0" w:color="auto"/>
                    <w:bottom w:val="single" w:sz="6" w:space="11" w:color="B1B1B1"/>
                    <w:right w:val="none" w:sz="0" w:space="0" w:color="auto"/>
                  </w:divBdr>
                </w:div>
              </w:divsChild>
            </w:div>
          </w:divsChild>
        </w:div>
      </w:divsChild>
    </w:div>
    <w:div w:id="157353015">
      <w:marLeft w:val="0"/>
      <w:marRight w:val="0"/>
      <w:marTop w:val="0"/>
      <w:marBottom w:val="0"/>
      <w:divBdr>
        <w:top w:val="none" w:sz="0" w:space="0" w:color="auto"/>
        <w:left w:val="none" w:sz="0" w:space="0" w:color="auto"/>
        <w:bottom w:val="none" w:sz="0" w:space="0" w:color="auto"/>
        <w:right w:val="none" w:sz="0" w:space="0" w:color="auto"/>
      </w:divBdr>
      <w:divsChild>
        <w:div w:id="157353281">
          <w:marLeft w:val="0"/>
          <w:marRight w:val="0"/>
          <w:marTop w:val="0"/>
          <w:marBottom w:val="0"/>
          <w:divBdr>
            <w:top w:val="none" w:sz="0" w:space="0" w:color="auto"/>
            <w:left w:val="none" w:sz="0" w:space="0" w:color="auto"/>
            <w:bottom w:val="none" w:sz="0" w:space="0" w:color="auto"/>
            <w:right w:val="none" w:sz="0" w:space="0" w:color="auto"/>
          </w:divBdr>
          <w:divsChild>
            <w:div w:id="157353214">
              <w:marLeft w:val="0"/>
              <w:marRight w:val="0"/>
              <w:marTop w:val="0"/>
              <w:marBottom w:val="150"/>
              <w:divBdr>
                <w:top w:val="none" w:sz="0" w:space="0" w:color="auto"/>
                <w:left w:val="none" w:sz="0" w:space="0" w:color="auto"/>
                <w:bottom w:val="none" w:sz="0" w:space="0" w:color="auto"/>
                <w:right w:val="none" w:sz="0" w:space="0" w:color="auto"/>
              </w:divBdr>
              <w:divsChild>
                <w:div w:id="1573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3016">
      <w:marLeft w:val="0"/>
      <w:marRight w:val="0"/>
      <w:marTop w:val="0"/>
      <w:marBottom w:val="0"/>
      <w:divBdr>
        <w:top w:val="none" w:sz="0" w:space="0" w:color="auto"/>
        <w:left w:val="none" w:sz="0" w:space="0" w:color="auto"/>
        <w:bottom w:val="none" w:sz="0" w:space="0" w:color="auto"/>
        <w:right w:val="none" w:sz="0" w:space="0" w:color="auto"/>
      </w:divBdr>
      <w:divsChild>
        <w:div w:id="157352604">
          <w:marLeft w:val="0"/>
          <w:marRight w:val="0"/>
          <w:marTop w:val="0"/>
          <w:marBottom w:val="0"/>
          <w:divBdr>
            <w:top w:val="none" w:sz="0" w:space="0" w:color="auto"/>
            <w:left w:val="none" w:sz="0" w:space="0" w:color="auto"/>
            <w:bottom w:val="none" w:sz="0" w:space="0" w:color="auto"/>
            <w:right w:val="none" w:sz="0" w:space="0" w:color="auto"/>
          </w:divBdr>
          <w:divsChild>
            <w:div w:id="157352758">
              <w:marLeft w:val="0"/>
              <w:marRight w:val="0"/>
              <w:marTop w:val="0"/>
              <w:marBottom w:val="0"/>
              <w:divBdr>
                <w:top w:val="none" w:sz="0" w:space="0" w:color="auto"/>
                <w:left w:val="none" w:sz="0" w:space="0" w:color="auto"/>
                <w:bottom w:val="none" w:sz="0" w:space="0" w:color="auto"/>
                <w:right w:val="none" w:sz="0" w:space="0" w:color="auto"/>
              </w:divBdr>
              <w:divsChild>
                <w:div w:id="157353221">
                  <w:marLeft w:val="0"/>
                  <w:marRight w:val="0"/>
                  <w:marTop w:val="0"/>
                  <w:marBottom w:val="0"/>
                  <w:divBdr>
                    <w:top w:val="none" w:sz="0" w:space="0" w:color="auto"/>
                    <w:left w:val="none" w:sz="0" w:space="0" w:color="auto"/>
                    <w:bottom w:val="none" w:sz="0" w:space="0" w:color="auto"/>
                    <w:right w:val="none" w:sz="0" w:space="0" w:color="auto"/>
                  </w:divBdr>
                  <w:divsChild>
                    <w:div w:id="157353346">
                      <w:marLeft w:val="0"/>
                      <w:marRight w:val="0"/>
                      <w:marTop w:val="0"/>
                      <w:marBottom w:val="0"/>
                      <w:divBdr>
                        <w:top w:val="none" w:sz="0" w:space="0" w:color="auto"/>
                        <w:left w:val="none" w:sz="0" w:space="0" w:color="auto"/>
                        <w:bottom w:val="none" w:sz="0" w:space="0" w:color="auto"/>
                        <w:right w:val="none" w:sz="0" w:space="0" w:color="auto"/>
                      </w:divBdr>
                      <w:divsChild>
                        <w:div w:id="157352686">
                          <w:marLeft w:val="0"/>
                          <w:marRight w:val="0"/>
                          <w:marTop w:val="0"/>
                          <w:marBottom w:val="0"/>
                          <w:divBdr>
                            <w:top w:val="none" w:sz="0" w:space="0" w:color="auto"/>
                            <w:left w:val="none" w:sz="0" w:space="0" w:color="auto"/>
                            <w:bottom w:val="none" w:sz="0" w:space="0" w:color="auto"/>
                            <w:right w:val="none" w:sz="0" w:space="0" w:color="auto"/>
                          </w:divBdr>
                          <w:divsChild>
                            <w:div w:id="157352680">
                              <w:marLeft w:val="0"/>
                              <w:marRight w:val="0"/>
                              <w:marTop w:val="0"/>
                              <w:marBottom w:val="0"/>
                              <w:divBdr>
                                <w:top w:val="none" w:sz="0" w:space="0" w:color="auto"/>
                                <w:left w:val="none" w:sz="0" w:space="0" w:color="auto"/>
                                <w:bottom w:val="none" w:sz="0" w:space="0" w:color="auto"/>
                                <w:right w:val="none" w:sz="0" w:space="0" w:color="auto"/>
                              </w:divBdr>
                              <w:divsChild>
                                <w:div w:id="157352593">
                                  <w:marLeft w:val="0"/>
                                  <w:marRight w:val="0"/>
                                  <w:marTop w:val="0"/>
                                  <w:marBottom w:val="390"/>
                                  <w:divBdr>
                                    <w:top w:val="none" w:sz="0" w:space="0" w:color="auto"/>
                                    <w:left w:val="none" w:sz="0" w:space="0" w:color="auto"/>
                                    <w:bottom w:val="none" w:sz="0" w:space="0" w:color="auto"/>
                                    <w:right w:val="none" w:sz="0" w:space="0" w:color="auto"/>
                                  </w:divBdr>
                                  <w:divsChild>
                                    <w:div w:id="157352523">
                                      <w:marLeft w:val="0"/>
                                      <w:marRight w:val="0"/>
                                      <w:marTop w:val="0"/>
                                      <w:marBottom w:val="0"/>
                                      <w:divBdr>
                                        <w:top w:val="none" w:sz="0" w:space="0" w:color="auto"/>
                                        <w:left w:val="none" w:sz="0" w:space="0" w:color="auto"/>
                                        <w:bottom w:val="none" w:sz="0" w:space="0" w:color="auto"/>
                                        <w:right w:val="none" w:sz="0" w:space="0" w:color="auto"/>
                                      </w:divBdr>
                                      <w:divsChild>
                                        <w:div w:id="15735336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53017">
      <w:marLeft w:val="0"/>
      <w:marRight w:val="0"/>
      <w:marTop w:val="0"/>
      <w:marBottom w:val="0"/>
      <w:divBdr>
        <w:top w:val="none" w:sz="0" w:space="0" w:color="auto"/>
        <w:left w:val="none" w:sz="0" w:space="0" w:color="auto"/>
        <w:bottom w:val="none" w:sz="0" w:space="0" w:color="auto"/>
        <w:right w:val="none" w:sz="0" w:space="0" w:color="auto"/>
      </w:divBdr>
      <w:divsChild>
        <w:div w:id="157352620">
          <w:marLeft w:val="0"/>
          <w:marRight w:val="0"/>
          <w:marTop w:val="0"/>
          <w:marBottom w:val="0"/>
          <w:divBdr>
            <w:top w:val="none" w:sz="0" w:space="0" w:color="auto"/>
            <w:left w:val="none" w:sz="0" w:space="0" w:color="auto"/>
            <w:bottom w:val="none" w:sz="0" w:space="0" w:color="auto"/>
            <w:right w:val="none" w:sz="0" w:space="0" w:color="auto"/>
          </w:divBdr>
          <w:divsChild>
            <w:div w:id="157352793">
              <w:marLeft w:val="0"/>
              <w:marRight w:val="0"/>
              <w:marTop w:val="0"/>
              <w:marBottom w:val="0"/>
              <w:divBdr>
                <w:top w:val="none" w:sz="0" w:space="0" w:color="auto"/>
                <w:left w:val="none" w:sz="0" w:space="0" w:color="auto"/>
                <w:bottom w:val="none" w:sz="0" w:space="0" w:color="auto"/>
                <w:right w:val="none" w:sz="0" w:space="0" w:color="auto"/>
              </w:divBdr>
              <w:divsChild>
                <w:div w:id="157352668">
                  <w:marLeft w:val="0"/>
                  <w:marRight w:val="0"/>
                  <w:marTop w:val="0"/>
                  <w:marBottom w:val="0"/>
                  <w:divBdr>
                    <w:top w:val="none" w:sz="0" w:space="0" w:color="auto"/>
                    <w:left w:val="none" w:sz="0" w:space="0" w:color="auto"/>
                    <w:bottom w:val="none" w:sz="0" w:space="0" w:color="auto"/>
                    <w:right w:val="none" w:sz="0" w:space="0" w:color="auto"/>
                  </w:divBdr>
                  <w:divsChild>
                    <w:div w:id="157352783">
                      <w:marLeft w:val="0"/>
                      <w:marRight w:val="0"/>
                      <w:marTop w:val="0"/>
                      <w:marBottom w:val="0"/>
                      <w:divBdr>
                        <w:top w:val="none" w:sz="0" w:space="0" w:color="auto"/>
                        <w:left w:val="none" w:sz="0" w:space="0" w:color="auto"/>
                        <w:bottom w:val="none" w:sz="0" w:space="0" w:color="auto"/>
                        <w:right w:val="none" w:sz="0" w:space="0" w:color="auto"/>
                      </w:divBdr>
                      <w:divsChild>
                        <w:div w:id="157353010">
                          <w:marLeft w:val="0"/>
                          <w:marRight w:val="0"/>
                          <w:marTop w:val="0"/>
                          <w:marBottom w:val="0"/>
                          <w:divBdr>
                            <w:top w:val="none" w:sz="0" w:space="0" w:color="auto"/>
                            <w:left w:val="none" w:sz="0" w:space="0" w:color="auto"/>
                            <w:bottom w:val="none" w:sz="0" w:space="0" w:color="auto"/>
                            <w:right w:val="none" w:sz="0" w:space="0" w:color="auto"/>
                          </w:divBdr>
                          <w:divsChild>
                            <w:div w:id="157352989">
                              <w:marLeft w:val="0"/>
                              <w:marRight w:val="0"/>
                              <w:marTop w:val="0"/>
                              <w:marBottom w:val="0"/>
                              <w:divBdr>
                                <w:top w:val="none" w:sz="0" w:space="0" w:color="auto"/>
                                <w:left w:val="none" w:sz="0" w:space="0" w:color="auto"/>
                                <w:bottom w:val="none" w:sz="0" w:space="0" w:color="auto"/>
                                <w:right w:val="none" w:sz="0" w:space="0" w:color="auto"/>
                              </w:divBdr>
                              <w:divsChild>
                                <w:div w:id="157352889">
                                  <w:marLeft w:val="0"/>
                                  <w:marRight w:val="0"/>
                                  <w:marTop w:val="0"/>
                                  <w:marBottom w:val="390"/>
                                  <w:divBdr>
                                    <w:top w:val="none" w:sz="0" w:space="0" w:color="auto"/>
                                    <w:left w:val="none" w:sz="0" w:space="0" w:color="auto"/>
                                    <w:bottom w:val="none" w:sz="0" w:space="0" w:color="auto"/>
                                    <w:right w:val="none" w:sz="0" w:space="0" w:color="auto"/>
                                  </w:divBdr>
                                  <w:divsChild>
                                    <w:div w:id="157352966">
                                      <w:marLeft w:val="0"/>
                                      <w:marRight w:val="0"/>
                                      <w:marTop w:val="0"/>
                                      <w:marBottom w:val="0"/>
                                      <w:divBdr>
                                        <w:top w:val="none" w:sz="0" w:space="0" w:color="auto"/>
                                        <w:left w:val="none" w:sz="0" w:space="0" w:color="auto"/>
                                        <w:bottom w:val="none" w:sz="0" w:space="0" w:color="auto"/>
                                        <w:right w:val="none" w:sz="0" w:space="0" w:color="auto"/>
                                      </w:divBdr>
                                      <w:divsChild>
                                        <w:div w:id="157352933">
                                          <w:marLeft w:val="0"/>
                                          <w:marRight w:val="0"/>
                                          <w:marTop w:val="240"/>
                                          <w:marBottom w:val="240"/>
                                          <w:divBdr>
                                            <w:top w:val="none" w:sz="0" w:space="0" w:color="auto"/>
                                            <w:left w:val="none" w:sz="0" w:space="0" w:color="auto"/>
                                            <w:bottom w:val="none" w:sz="0" w:space="0" w:color="auto"/>
                                            <w:right w:val="none" w:sz="0" w:space="0" w:color="auto"/>
                                          </w:divBdr>
                                        </w:div>
                                        <w:div w:id="157353085">
                                          <w:marLeft w:val="0"/>
                                          <w:marRight w:val="0"/>
                                          <w:marTop w:val="240"/>
                                          <w:marBottom w:val="240"/>
                                          <w:divBdr>
                                            <w:top w:val="none" w:sz="0" w:space="0" w:color="auto"/>
                                            <w:left w:val="none" w:sz="0" w:space="0" w:color="auto"/>
                                            <w:bottom w:val="none" w:sz="0" w:space="0" w:color="auto"/>
                                            <w:right w:val="none" w:sz="0" w:space="0" w:color="auto"/>
                                          </w:divBdr>
                                        </w:div>
                                        <w:div w:id="157353122">
                                          <w:marLeft w:val="0"/>
                                          <w:marRight w:val="0"/>
                                          <w:marTop w:val="240"/>
                                          <w:marBottom w:val="240"/>
                                          <w:divBdr>
                                            <w:top w:val="none" w:sz="0" w:space="0" w:color="auto"/>
                                            <w:left w:val="none" w:sz="0" w:space="0" w:color="auto"/>
                                            <w:bottom w:val="none" w:sz="0" w:space="0" w:color="auto"/>
                                            <w:right w:val="none" w:sz="0" w:space="0" w:color="auto"/>
                                          </w:divBdr>
                                        </w:div>
                                        <w:div w:id="1573532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53018">
      <w:marLeft w:val="0"/>
      <w:marRight w:val="0"/>
      <w:marTop w:val="0"/>
      <w:marBottom w:val="0"/>
      <w:divBdr>
        <w:top w:val="none" w:sz="0" w:space="0" w:color="auto"/>
        <w:left w:val="none" w:sz="0" w:space="0" w:color="auto"/>
        <w:bottom w:val="none" w:sz="0" w:space="0" w:color="auto"/>
        <w:right w:val="none" w:sz="0" w:space="0" w:color="auto"/>
      </w:divBdr>
      <w:divsChild>
        <w:div w:id="157352681">
          <w:marLeft w:val="0"/>
          <w:marRight w:val="0"/>
          <w:marTop w:val="0"/>
          <w:marBottom w:val="0"/>
          <w:divBdr>
            <w:top w:val="none" w:sz="0" w:space="0" w:color="auto"/>
            <w:left w:val="none" w:sz="0" w:space="0" w:color="auto"/>
            <w:bottom w:val="none" w:sz="0" w:space="0" w:color="auto"/>
            <w:right w:val="none" w:sz="0" w:space="0" w:color="auto"/>
          </w:divBdr>
          <w:divsChild>
            <w:div w:id="157353302">
              <w:marLeft w:val="0"/>
              <w:marRight w:val="0"/>
              <w:marTop w:val="0"/>
              <w:marBottom w:val="0"/>
              <w:divBdr>
                <w:top w:val="none" w:sz="0" w:space="0" w:color="auto"/>
                <w:left w:val="none" w:sz="0" w:space="0" w:color="auto"/>
                <w:bottom w:val="none" w:sz="0" w:space="0" w:color="auto"/>
                <w:right w:val="none" w:sz="0" w:space="0" w:color="auto"/>
              </w:divBdr>
              <w:divsChild>
                <w:div w:id="157352590">
                  <w:marLeft w:val="0"/>
                  <w:marRight w:val="0"/>
                  <w:marTop w:val="0"/>
                  <w:marBottom w:val="0"/>
                  <w:divBdr>
                    <w:top w:val="none" w:sz="0" w:space="0" w:color="auto"/>
                    <w:left w:val="none" w:sz="0" w:space="0" w:color="auto"/>
                    <w:bottom w:val="none" w:sz="0" w:space="0" w:color="auto"/>
                    <w:right w:val="none" w:sz="0" w:space="0" w:color="auto"/>
                  </w:divBdr>
                  <w:divsChild>
                    <w:div w:id="157353002">
                      <w:marLeft w:val="0"/>
                      <w:marRight w:val="0"/>
                      <w:marTop w:val="0"/>
                      <w:marBottom w:val="0"/>
                      <w:divBdr>
                        <w:top w:val="none" w:sz="0" w:space="0" w:color="auto"/>
                        <w:left w:val="none" w:sz="0" w:space="0" w:color="auto"/>
                        <w:bottom w:val="none" w:sz="0" w:space="0" w:color="auto"/>
                        <w:right w:val="none" w:sz="0" w:space="0" w:color="auto"/>
                      </w:divBdr>
                      <w:divsChild>
                        <w:div w:id="157352582">
                          <w:marLeft w:val="0"/>
                          <w:marRight w:val="0"/>
                          <w:marTop w:val="0"/>
                          <w:marBottom w:val="0"/>
                          <w:divBdr>
                            <w:top w:val="none" w:sz="0" w:space="0" w:color="auto"/>
                            <w:left w:val="none" w:sz="0" w:space="0" w:color="auto"/>
                            <w:bottom w:val="none" w:sz="0" w:space="0" w:color="auto"/>
                            <w:right w:val="none" w:sz="0" w:space="0" w:color="auto"/>
                          </w:divBdr>
                          <w:divsChild>
                            <w:div w:id="157352865">
                              <w:marLeft w:val="0"/>
                              <w:marRight w:val="0"/>
                              <w:marTop w:val="0"/>
                              <w:marBottom w:val="0"/>
                              <w:divBdr>
                                <w:top w:val="none" w:sz="0" w:space="0" w:color="auto"/>
                                <w:left w:val="none" w:sz="0" w:space="0" w:color="auto"/>
                                <w:bottom w:val="none" w:sz="0" w:space="0" w:color="auto"/>
                                <w:right w:val="none" w:sz="0" w:space="0" w:color="auto"/>
                              </w:divBdr>
                              <w:divsChild>
                                <w:div w:id="157352912">
                                  <w:marLeft w:val="0"/>
                                  <w:marRight w:val="0"/>
                                  <w:marTop w:val="0"/>
                                  <w:marBottom w:val="390"/>
                                  <w:divBdr>
                                    <w:top w:val="none" w:sz="0" w:space="0" w:color="auto"/>
                                    <w:left w:val="none" w:sz="0" w:space="0" w:color="auto"/>
                                    <w:bottom w:val="none" w:sz="0" w:space="0" w:color="auto"/>
                                    <w:right w:val="none" w:sz="0" w:space="0" w:color="auto"/>
                                  </w:divBdr>
                                  <w:divsChild>
                                    <w:div w:id="157352938">
                                      <w:marLeft w:val="0"/>
                                      <w:marRight w:val="0"/>
                                      <w:marTop w:val="0"/>
                                      <w:marBottom w:val="0"/>
                                      <w:divBdr>
                                        <w:top w:val="none" w:sz="0" w:space="0" w:color="auto"/>
                                        <w:left w:val="none" w:sz="0" w:space="0" w:color="auto"/>
                                        <w:bottom w:val="none" w:sz="0" w:space="0" w:color="auto"/>
                                        <w:right w:val="none" w:sz="0" w:space="0" w:color="auto"/>
                                      </w:divBdr>
                                      <w:divsChild>
                                        <w:div w:id="1573529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53022">
      <w:marLeft w:val="0"/>
      <w:marRight w:val="0"/>
      <w:marTop w:val="0"/>
      <w:marBottom w:val="0"/>
      <w:divBdr>
        <w:top w:val="none" w:sz="0" w:space="0" w:color="auto"/>
        <w:left w:val="none" w:sz="0" w:space="0" w:color="auto"/>
        <w:bottom w:val="none" w:sz="0" w:space="0" w:color="auto"/>
        <w:right w:val="none" w:sz="0" w:space="0" w:color="auto"/>
      </w:divBdr>
      <w:divsChild>
        <w:div w:id="157352546">
          <w:marLeft w:val="0"/>
          <w:marRight w:val="0"/>
          <w:marTop w:val="0"/>
          <w:marBottom w:val="0"/>
          <w:divBdr>
            <w:top w:val="none" w:sz="0" w:space="0" w:color="auto"/>
            <w:left w:val="none" w:sz="0" w:space="0" w:color="auto"/>
            <w:bottom w:val="none" w:sz="0" w:space="0" w:color="auto"/>
            <w:right w:val="none" w:sz="0" w:space="0" w:color="auto"/>
          </w:divBdr>
          <w:divsChild>
            <w:div w:id="157353093">
              <w:marLeft w:val="0"/>
              <w:marRight w:val="0"/>
              <w:marTop w:val="0"/>
              <w:marBottom w:val="150"/>
              <w:divBdr>
                <w:top w:val="none" w:sz="0" w:space="0" w:color="auto"/>
                <w:left w:val="none" w:sz="0" w:space="0" w:color="auto"/>
                <w:bottom w:val="none" w:sz="0" w:space="0" w:color="auto"/>
                <w:right w:val="none" w:sz="0" w:space="0" w:color="auto"/>
              </w:divBdr>
              <w:divsChild>
                <w:div w:id="157353088">
                  <w:marLeft w:val="0"/>
                  <w:marRight w:val="0"/>
                  <w:marTop w:val="0"/>
                  <w:marBottom w:val="0"/>
                  <w:divBdr>
                    <w:top w:val="none" w:sz="0" w:space="0" w:color="auto"/>
                    <w:left w:val="none" w:sz="0" w:space="0" w:color="auto"/>
                    <w:bottom w:val="none" w:sz="0" w:space="0" w:color="auto"/>
                    <w:right w:val="none" w:sz="0" w:space="0" w:color="auto"/>
                  </w:divBdr>
                  <w:divsChild>
                    <w:div w:id="157352568">
                      <w:marLeft w:val="0"/>
                      <w:marRight w:val="0"/>
                      <w:marTop w:val="0"/>
                      <w:marBottom w:val="0"/>
                      <w:divBdr>
                        <w:top w:val="none" w:sz="0" w:space="0" w:color="auto"/>
                        <w:left w:val="none" w:sz="0" w:space="0" w:color="auto"/>
                        <w:bottom w:val="none" w:sz="0" w:space="0" w:color="auto"/>
                        <w:right w:val="none" w:sz="0" w:space="0" w:color="auto"/>
                      </w:divBdr>
                      <w:divsChild>
                        <w:div w:id="1573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3023">
      <w:marLeft w:val="0"/>
      <w:marRight w:val="0"/>
      <w:marTop w:val="0"/>
      <w:marBottom w:val="0"/>
      <w:divBdr>
        <w:top w:val="none" w:sz="0" w:space="0" w:color="auto"/>
        <w:left w:val="none" w:sz="0" w:space="0" w:color="auto"/>
        <w:bottom w:val="none" w:sz="0" w:space="0" w:color="auto"/>
        <w:right w:val="none" w:sz="0" w:space="0" w:color="auto"/>
      </w:divBdr>
      <w:divsChild>
        <w:div w:id="157352934">
          <w:marLeft w:val="0"/>
          <w:marRight w:val="0"/>
          <w:marTop w:val="0"/>
          <w:marBottom w:val="0"/>
          <w:divBdr>
            <w:top w:val="none" w:sz="0" w:space="0" w:color="auto"/>
            <w:left w:val="none" w:sz="0" w:space="0" w:color="auto"/>
            <w:bottom w:val="none" w:sz="0" w:space="0" w:color="auto"/>
            <w:right w:val="none" w:sz="0" w:space="0" w:color="auto"/>
          </w:divBdr>
          <w:divsChild>
            <w:div w:id="157352925">
              <w:marLeft w:val="0"/>
              <w:marRight w:val="0"/>
              <w:marTop w:val="150"/>
              <w:marBottom w:val="0"/>
              <w:divBdr>
                <w:top w:val="none" w:sz="0" w:space="0" w:color="auto"/>
                <w:left w:val="none" w:sz="0" w:space="0" w:color="auto"/>
                <w:bottom w:val="none" w:sz="0" w:space="0" w:color="auto"/>
                <w:right w:val="none" w:sz="0" w:space="0" w:color="auto"/>
              </w:divBdr>
              <w:divsChild>
                <w:div w:id="157353376">
                  <w:marLeft w:val="0"/>
                  <w:marRight w:val="0"/>
                  <w:marTop w:val="0"/>
                  <w:marBottom w:val="0"/>
                  <w:divBdr>
                    <w:top w:val="none" w:sz="0" w:space="0" w:color="auto"/>
                    <w:left w:val="none" w:sz="0" w:space="0" w:color="auto"/>
                    <w:bottom w:val="none" w:sz="0" w:space="0" w:color="auto"/>
                    <w:right w:val="none" w:sz="0" w:space="0" w:color="auto"/>
                  </w:divBdr>
                  <w:divsChild>
                    <w:div w:id="1573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3024">
      <w:marLeft w:val="0"/>
      <w:marRight w:val="0"/>
      <w:marTop w:val="0"/>
      <w:marBottom w:val="0"/>
      <w:divBdr>
        <w:top w:val="none" w:sz="0" w:space="0" w:color="auto"/>
        <w:left w:val="none" w:sz="0" w:space="0" w:color="auto"/>
        <w:bottom w:val="none" w:sz="0" w:space="0" w:color="auto"/>
        <w:right w:val="none" w:sz="0" w:space="0" w:color="auto"/>
      </w:divBdr>
      <w:divsChild>
        <w:div w:id="157353119">
          <w:marLeft w:val="0"/>
          <w:marRight w:val="0"/>
          <w:marTop w:val="0"/>
          <w:marBottom w:val="0"/>
          <w:divBdr>
            <w:top w:val="none" w:sz="0" w:space="0" w:color="auto"/>
            <w:left w:val="none" w:sz="0" w:space="0" w:color="auto"/>
            <w:bottom w:val="none" w:sz="0" w:space="0" w:color="auto"/>
            <w:right w:val="none" w:sz="0" w:space="0" w:color="auto"/>
          </w:divBdr>
          <w:divsChild>
            <w:div w:id="157353257">
              <w:marLeft w:val="0"/>
              <w:marRight w:val="0"/>
              <w:marTop w:val="0"/>
              <w:marBottom w:val="0"/>
              <w:divBdr>
                <w:top w:val="none" w:sz="0" w:space="0" w:color="auto"/>
                <w:left w:val="none" w:sz="0" w:space="0" w:color="auto"/>
                <w:bottom w:val="none" w:sz="0" w:space="0" w:color="auto"/>
                <w:right w:val="none" w:sz="0" w:space="0" w:color="auto"/>
              </w:divBdr>
              <w:divsChild>
                <w:div w:id="157352767">
                  <w:marLeft w:val="0"/>
                  <w:marRight w:val="0"/>
                  <w:marTop w:val="0"/>
                  <w:marBottom w:val="0"/>
                  <w:divBdr>
                    <w:top w:val="none" w:sz="0" w:space="0" w:color="auto"/>
                    <w:left w:val="none" w:sz="0" w:space="0" w:color="auto"/>
                    <w:bottom w:val="none" w:sz="0" w:space="0" w:color="auto"/>
                    <w:right w:val="none" w:sz="0" w:space="0" w:color="auto"/>
                  </w:divBdr>
                  <w:divsChild>
                    <w:div w:id="157352998">
                      <w:marLeft w:val="0"/>
                      <w:marRight w:val="0"/>
                      <w:marTop w:val="0"/>
                      <w:marBottom w:val="0"/>
                      <w:divBdr>
                        <w:top w:val="none" w:sz="0" w:space="0" w:color="auto"/>
                        <w:left w:val="none" w:sz="0" w:space="0" w:color="auto"/>
                        <w:bottom w:val="none" w:sz="0" w:space="0" w:color="auto"/>
                        <w:right w:val="none" w:sz="0" w:space="0" w:color="auto"/>
                      </w:divBdr>
                      <w:divsChild>
                        <w:div w:id="157353374">
                          <w:marLeft w:val="0"/>
                          <w:marRight w:val="0"/>
                          <w:marTop w:val="0"/>
                          <w:marBottom w:val="0"/>
                          <w:divBdr>
                            <w:top w:val="none" w:sz="0" w:space="0" w:color="auto"/>
                            <w:left w:val="none" w:sz="0" w:space="0" w:color="auto"/>
                            <w:bottom w:val="none" w:sz="0" w:space="0" w:color="auto"/>
                            <w:right w:val="none" w:sz="0" w:space="0" w:color="auto"/>
                          </w:divBdr>
                          <w:divsChild>
                            <w:div w:id="157352866">
                              <w:marLeft w:val="0"/>
                              <w:marRight w:val="0"/>
                              <w:marTop w:val="0"/>
                              <w:marBottom w:val="0"/>
                              <w:divBdr>
                                <w:top w:val="none" w:sz="0" w:space="0" w:color="auto"/>
                                <w:left w:val="none" w:sz="0" w:space="0" w:color="auto"/>
                                <w:bottom w:val="none" w:sz="0" w:space="0" w:color="auto"/>
                                <w:right w:val="none" w:sz="0" w:space="0" w:color="auto"/>
                              </w:divBdr>
                              <w:divsChild>
                                <w:div w:id="157352794">
                                  <w:marLeft w:val="0"/>
                                  <w:marRight w:val="0"/>
                                  <w:marTop w:val="0"/>
                                  <w:marBottom w:val="390"/>
                                  <w:divBdr>
                                    <w:top w:val="none" w:sz="0" w:space="0" w:color="auto"/>
                                    <w:left w:val="none" w:sz="0" w:space="0" w:color="auto"/>
                                    <w:bottom w:val="none" w:sz="0" w:space="0" w:color="auto"/>
                                    <w:right w:val="none" w:sz="0" w:space="0" w:color="auto"/>
                                  </w:divBdr>
                                  <w:divsChild>
                                    <w:div w:id="157352548">
                                      <w:marLeft w:val="0"/>
                                      <w:marRight w:val="0"/>
                                      <w:marTop w:val="0"/>
                                      <w:marBottom w:val="0"/>
                                      <w:divBdr>
                                        <w:top w:val="none" w:sz="0" w:space="0" w:color="auto"/>
                                        <w:left w:val="none" w:sz="0" w:space="0" w:color="auto"/>
                                        <w:bottom w:val="none" w:sz="0" w:space="0" w:color="auto"/>
                                        <w:right w:val="none" w:sz="0" w:space="0" w:color="auto"/>
                                      </w:divBdr>
                                      <w:divsChild>
                                        <w:div w:id="157352735">
                                          <w:marLeft w:val="0"/>
                                          <w:marRight w:val="0"/>
                                          <w:marTop w:val="240"/>
                                          <w:marBottom w:val="240"/>
                                          <w:divBdr>
                                            <w:top w:val="none" w:sz="0" w:space="0" w:color="auto"/>
                                            <w:left w:val="none" w:sz="0" w:space="0" w:color="auto"/>
                                            <w:bottom w:val="none" w:sz="0" w:space="0" w:color="auto"/>
                                            <w:right w:val="none" w:sz="0" w:space="0" w:color="auto"/>
                                          </w:divBdr>
                                        </w:div>
                                        <w:div w:id="1573531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53026">
      <w:marLeft w:val="0"/>
      <w:marRight w:val="0"/>
      <w:marTop w:val="0"/>
      <w:marBottom w:val="0"/>
      <w:divBdr>
        <w:top w:val="none" w:sz="0" w:space="0" w:color="auto"/>
        <w:left w:val="none" w:sz="0" w:space="0" w:color="auto"/>
        <w:bottom w:val="none" w:sz="0" w:space="0" w:color="auto"/>
        <w:right w:val="none" w:sz="0" w:space="0" w:color="auto"/>
      </w:divBdr>
    </w:div>
    <w:div w:id="157353030">
      <w:marLeft w:val="0"/>
      <w:marRight w:val="0"/>
      <w:marTop w:val="0"/>
      <w:marBottom w:val="0"/>
      <w:divBdr>
        <w:top w:val="none" w:sz="0" w:space="0" w:color="auto"/>
        <w:left w:val="none" w:sz="0" w:space="0" w:color="auto"/>
        <w:bottom w:val="none" w:sz="0" w:space="0" w:color="auto"/>
        <w:right w:val="none" w:sz="0" w:space="0" w:color="auto"/>
      </w:divBdr>
      <w:divsChild>
        <w:div w:id="157353132">
          <w:marLeft w:val="0"/>
          <w:marRight w:val="0"/>
          <w:marTop w:val="0"/>
          <w:marBottom w:val="0"/>
          <w:divBdr>
            <w:top w:val="none" w:sz="0" w:space="0" w:color="auto"/>
            <w:left w:val="none" w:sz="0" w:space="0" w:color="auto"/>
            <w:bottom w:val="none" w:sz="0" w:space="0" w:color="auto"/>
            <w:right w:val="none" w:sz="0" w:space="0" w:color="auto"/>
          </w:divBdr>
          <w:divsChild>
            <w:div w:id="157352645">
              <w:marLeft w:val="0"/>
              <w:marRight w:val="0"/>
              <w:marTop w:val="0"/>
              <w:marBottom w:val="0"/>
              <w:divBdr>
                <w:top w:val="none" w:sz="0" w:space="0" w:color="auto"/>
                <w:left w:val="none" w:sz="0" w:space="0" w:color="auto"/>
                <w:bottom w:val="none" w:sz="0" w:space="0" w:color="auto"/>
                <w:right w:val="none" w:sz="0" w:space="0" w:color="auto"/>
              </w:divBdr>
              <w:divsChild>
                <w:div w:id="1573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3039">
      <w:marLeft w:val="0"/>
      <w:marRight w:val="0"/>
      <w:marTop w:val="0"/>
      <w:marBottom w:val="0"/>
      <w:divBdr>
        <w:top w:val="none" w:sz="0" w:space="0" w:color="auto"/>
        <w:left w:val="none" w:sz="0" w:space="0" w:color="auto"/>
        <w:bottom w:val="none" w:sz="0" w:space="0" w:color="auto"/>
        <w:right w:val="none" w:sz="0" w:space="0" w:color="auto"/>
      </w:divBdr>
      <w:divsChild>
        <w:div w:id="157352816">
          <w:marLeft w:val="0"/>
          <w:marRight w:val="0"/>
          <w:marTop w:val="0"/>
          <w:marBottom w:val="0"/>
          <w:divBdr>
            <w:top w:val="none" w:sz="0" w:space="0" w:color="auto"/>
            <w:left w:val="none" w:sz="0" w:space="0" w:color="auto"/>
            <w:bottom w:val="none" w:sz="0" w:space="0" w:color="auto"/>
            <w:right w:val="none" w:sz="0" w:space="0" w:color="auto"/>
          </w:divBdr>
          <w:divsChild>
            <w:div w:id="157353003">
              <w:marLeft w:val="0"/>
              <w:marRight w:val="0"/>
              <w:marTop w:val="0"/>
              <w:marBottom w:val="0"/>
              <w:divBdr>
                <w:top w:val="none" w:sz="0" w:space="0" w:color="auto"/>
                <w:left w:val="none" w:sz="0" w:space="0" w:color="auto"/>
                <w:bottom w:val="none" w:sz="0" w:space="0" w:color="auto"/>
                <w:right w:val="none" w:sz="0" w:space="0" w:color="auto"/>
              </w:divBdr>
              <w:divsChild>
                <w:div w:id="157352836">
                  <w:marLeft w:val="0"/>
                  <w:marRight w:val="0"/>
                  <w:marTop w:val="0"/>
                  <w:marBottom w:val="0"/>
                  <w:divBdr>
                    <w:top w:val="none" w:sz="0" w:space="0" w:color="auto"/>
                    <w:left w:val="none" w:sz="0" w:space="0" w:color="auto"/>
                    <w:bottom w:val="none" w:sz="0" w:space="0" w:color="auto"/>
                    <w:right w:val="none" w:sz="0" w:space="0" w:color="auto"/>
                  </w:divBdr>
                  <w:divsChild>
                    <w:div w:id="157353298">
                      <w:marLeft w:val="0"/>
                      <w:marRight w:val="0"/>
                      <w:marTop w:val="0"/>
                      <w:marBottom w:val="0"/>
                      <w:divBdr>
                        <w:top w:val="none" w:sz="0" w:space="0" w:color="auto"/>
                        <w:left w:val="none" w:sz="0" w:space="0" w:color="auto"/>
                        <w:bottom w:val="none" w:sz="0" w:space="0" w:color="auto"/>
                        <w:right w:val="none" w:sz="0" w:space="0" w:color="auto"/>
                      </w:divBdr>
                      <w:divsChild>
                        <w:div w:id="157353329">
                          <w:marLeft w:val="0"/>
                          <w:marRight w:val="0"/>
                          <w:marTop w:val="0"/>
                          <w:marBottom w:val="0"/>
                          <w:divBdr>
                            <w:top w:val="none" w:sz="0" w:space="0" w:color="auto"/>
                            <w:left w:val="none" w:sz="0" w:space="0" w:color="auto"/>
                            <w:bottom w:val="none" w:sz="0" w:space="0" w:color="auto"/>
                            <w:right w:val="none" w:sz="0" w:space="0" w:color="auto"/>
                          </w:divBdr>
                          <w:divsChild>
                            <w:div w:id="157353334">
                              <w:marLeft w:val="0"/>
                              <w:marRight w:val="0"/>
                              <w:marTop w:val="0"/>
                              <w:marBottom w:val="0"/>
                              <w:divBdr>
                                <w:top w:val="none" w:sz="0" w:space="0" w:color="auto"/>
                                <w:left w:val="none" w:sz="0" w:space="0" w:color="auto"/>
                                <w:bottom w:val="none" w:sz="0" w:space="0" w:color="auto"/>
                                <w:right w:val="none" w:sz="0" w:space="0" w:color="auto"/>
                              </w:divBdr>
                              <w:divsChild>
                                <w:div w:id="1573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53041">
      <w:marLeft w:val="0"/>
      <w:marRight w:val="0"/>
      <w:marTop w:val="0"/>
      <w:marBottom w:val="0"/>
      <w:divBdr>
        <w:top w:val="none" w:sz="0" w:space="0" w:color="auto"/>
        <w:left w:val="none" w:sz="0" w:space="0" w:color="auto"/>
        <w:bottom w:val="none" w:sz="0" w:space="0" w:color="auto"/>
        <w:right w:val="none" w:sz="0" w:space="0" w:color="auto"/>
      </w:divBdr>
      <w:divsChild>
        <w:div w:id="157352993">
          <w:marLeft w:val="0"/>
          <w:marRight w:val="0"/>
          <w:marTop w:val="0"/>
          <w:marBottom w:val="150"/>
          <w:divBdr>
            <w:top w:val="single" w:sz="6" w:space="12" w:color="C9C9C9"/>
            <w:left w:val="single" w:sz="6" w:space="12" w:color="C9C9C9"/>
            <w:bottom w:val="single" w:sz="6" w:space="12" w:color="C9C9C9"/>
            <w:right w:val="single" w:sz="6" w:space="12" w:color="C9C9C9"/>
          </w:divBdr>
          <w:divsChild>
            <w:div w:id="157353282">
              <w:marLeft w:val="0"/>
              <w:marRight w:val="180"/>
              <w:marTop w:val="0"/>
              <w:marBottom w:val="0"/>
              <w:divBdr>
                <w:top w:val="none" w:sz="0" w:space="0" w:color="auto"/>
                <w:left w:val="none" w:sz="0" w:space="0" w:color="auto"/>
                <w:bottom w:val="none" w:sz="0" w:space="0" w:color="auto"/>
                <w:right w:val="none" w:sz="0" w:space="0" w:color="auto"/>
              </w:divBdr>
              <w:divsChild>
                <w:div w:id="157352945">
                  <w:marLeft w:val="0"/>
                  <w:marRight w:val="0"/>
                  <w:marTop w:val="225"/>
                  <w:marBottom w:val="0"/>
                  <w:divBdr>
                    <w:top w:val="none" w:sz="0" w:space="0" w:color="auto"/>
                    <w:left w:val="none" w:sz="0" w:space="0" w:color="auto"/>
                    <w:bottom w:val="single" w:sz="6" w:space="11" w:color="B1B1B1"/>
                    <w:right w:val="none" w:sz="0" w:space="0" w:color="auto"/>
                  </w:divBdr>
                </w:div>
              </w:divsChild>
            </w:div>
          </w:divsChild>
        </w:div>
      </w:divsChild>
    </w:div>
    <w:div w:id="157353043">
      <w:marLeft w:val="0"/>
      <w:marRight w:val="0"/>
      <w:marTop w:val="0"/>
      <w:marBottom w:val="0"/>
      <w:divBdr>
        <w:top w:val="none" w:sz="0" w:space="0" w:color="auto"/>
        <w:left w:val="none" w:sz="0" w:space="0" w:color="auto"/>
        <w:bottom w:val="none" w:sz="0" w:space="0" w:color="auto"/>
        <w:right w:val="none" w:sz="0" w:space="0" w:color="auto"/>
      </w:divBdr>
      <w:divsChild>
        <w:div w:id="157353273">
          <w:marLeft w:val="0"/>
          <w:marRight w:val="0"/>
          <w:marTop w:val="0"/>
          <w:marBottom w:val="0"/>
          <w:divBdr>
            <w:top w:val="none" w:sz="0" w:space="0" w:color="auto"/>
            <w:left w:val="none" w:sz="0" w:space="0" w:color="auto"/>
            <w:bottom w:val="none" w:sz="0" w:space="0" w:color="auto"/>
            <w:right w:val="none" w:sz="0" w:space="0" w:color="auto"/>
          </w:divBdr>
          <w:divsChild>
            <w:div w:id="157353328">
              <w:marLeft w:val="0"/>
              <w:marRight w:val="0"/>
              <w:marTop w:val="0"/>
              <w:marBottom w:val="150"/>
              <w:divBdr>
                <w:top w:val="none" w:sz="0" w:space="0" w:color="auto"/>
                <w:left w:val="none" w:sz="0" w:space="0" w:color="auto"/>
                <w:bottom w:val="none" w:sz="0" w:space="0" w:color="auto"/>
                <w:right w:val="none" w:sz="0" w:space="0" w:color="auto"/>
              </w:divBdr>
              <w:divsChild>
                <w:div w:id="1573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3045">
      <w:marLeft w:val="0"/>
      <w:marRight w:val="0"/>
      <w:marTop w:val="0"/>
      <w:marBottom w:val="0"/>
      <w:divBdr>
        <w:top w:val="none" w:sz="0" w:space="0" w:color="auto"/>
        <w:left w:val="none" w:sz="0" w:space="0" w:color="auto"/>
        <w:bottom w:val="none" w:sz="0" w:space="0" w:color="auto"/>
        <w:right w:val="none" w:sz="0" w:space="0" w:color="auto"/>
      </w:divBdr>
      <w:divsChild>
        <w:div w:id="157352860">
          <w:marLeft w:val="0"/>
          <w:marRight w:val="0"/>
          <w:marTop w:val="0"/>
          <w:marBottom w:val="0"/>
          <w:divBdr>
            <w:top w:val="none" w:sz="0" w:space="0" w:color="auto"/>
            <w:left w:val="none" w:sz="0" w:space="0" w:color="auto"/>
            <w:bottom w:val="none" w:sz="0" w:space="0" w:color="auto"/>
            <w:right w:val="none" w:sz="0" w:space="0" w:color="auto"/>
          </w:divBdr>
          <w:divsChild>
            <w:div w:id="157352757">
              <w:marLeft w:val="0"/>
              <w:marRight w:val="0"/>
              <w:marTop w:val="0"/>
              <w:marBottom w:val="0"/>
              <w:divBdr>
                <w:top w:val="none" w:sz="0" w:space="0" w:color="auto"/>
                <w:left w:val="none" w:sz="0" w:space="0" w:color="auto"/>
                <w:bottom w:val="none" w:sz="0" w:space="0" w:color="auto"/>
                <w:right w:val="none" w:sz="0" w:space="0" w:color="auto"/>
              </w:divBdr>
              <w:divsChild>
                <w:div w:id="157353117">
                  <w:marLeft w:val="0"/>
                  <w:marRight w:val="0"/>
                  <w:marTop w:val="0"/>
                  <w:marBottom w:val="0"/>
                  <w:divBdr>
                    <w:top w:val="none" w:sz="0" w:space="0" w:color="auto"/>
                    <w:left w:val="none" w:sz="0" w:space="0" w:color="auto"/>
                    <w:bottom w:val="none" w:sz="0" w:space="0" w:color="auto"/>
                    <w:right w:val="none" w:sz="0" w:space="0" w:color="auto"/>
                  </w:divBdr>
                  <w:divsChild>
                    <w:div w:id="157353115">
                      <w:marLeft w:val="0"/>
                      <w:marRight w:val="0"/>
                      <w:marTop w:val="0"/>
                      <w:marBottom w:val="0"/>
                      <w:divBdr>
                        <w:top w:val="none" w:sz="0" w:space="0" w:color="auto"/>
                        <w:left w:val="none" w:sz="0" w:space="0" w:color="auto"/>
                        <w:bottom w:val="none" w:sz="0" w:space="0" w:color="auto"/>
                        <w:right w:val="none" w:sz="0" w:space="0" w:color="auto"/>
                      </w:divBdr>
                      <w:divsChild>
                        <w:div w:id="157353242">
                          <w:marLeft w:val="0"/>
                          <w:marRight w:val="0"/>
                          <w:marTop w:val="0"/>
                          <w:marBottom w:val="0"/>
                          <w:divBdr>
                            <w:top w:val="none" w:sz="0" w:space="0" w:color="auto"/>
                            <w:left w:val="none" w:sz="0" w:space="0" w:color="auto"/>
                            <w:bottom w:val="none" w:sz="0" w:space="0" w:color="auto"/>
                            <w:right w:val="none" w:sz="0" w:space="0" w:color="auto"/>
                          </w:divBdr>
                          <w:divsChild>
                            <w:div w:id="157352580">
                              <w:marLeft w:val="0"/>
                              <w:marRight w:val="0"/>
                              <w:marTop w:val="0"/>
                              <w:marBottom w:val="0"/>
                              <w:divBdr>
                                <w:top w:val="none" w:sz="0" w:space="0" w:color="auto"/>
                                <w:left w:val="none" w:sz="0" w:space="0" w:color="auto"/>
                                <w:bottom w:val="none" w:sz="0" w:space="0" w:color="auto"/>
                                <w:right w:val="none" w:sz="0" w:space="0" w:color="auto"/>
                              </w:divBdr>
                              <w:divsChild>
                                <w:div w:id="157352551">
                                  <w:marLeft w:val="0"/>
                                  <w:marRight w:val="0"/>
                                  <w:marTop w:val="0"/>
                                  <w:marBottom w:val="390"/>
                                  <w:divBdr>
                                    <w:top w:val="none" w:sz="0" w:space="0" w:color="auto"/>
                                    <w:left w:val="none" w:sz="0" w:space="0" w:color="auto"/>
                                    <w:bottom w:val="none" w:sz="0" w:space="0" w:color="auto"/>
                                    <w:right w:val="none" w:sz="0" w:space="0" w:color="auto"/>
                                  </w:divBdr>
                                  <w:divsChild>
                                    <w:div w:id="157353035">
                                      <w:marLeft w:val="0"/>
                                      <w:marRight w:val="0"/>
                                      <w:marTop w:val="0"/>
                                      <w:marBottom w:val="0"/>
                                      <w:divBdr>
                                        <w:top w:val="none" w:sz="0" w:space="0" w:color="auto"/>
                                        <w:left w:val="none" w:sz="0" w:space="0" w:color="auto"/>
                                        <w:bottom w:val="none" w:sz="0" w:space="0" w:color="auto"/>
                                        <w:right w:val="none" w:sz="0" w:space="0" w:color="auto"/>
                                      </w:divBdr>
                                      <w:divsChild>
                                        <w:div w:id="157352724">
                                          <w:marLeft w:val="0"/>
                                          <w:marRight w:val="0"/>
                                          <w:marTop w:val="240"/>
                                          <w:marBottom w:val="240"/>
                                          <w:divBdr>
                                            <w:top w:val="none" w:sz="0" w:space="0" w:color="auto"/>
                                            <w:left w:val="none" w:sz="0" w:space="0" w:color="auto"/>
                                            <w:bottom w:val="none" w:sz="0" w:space="0" w:color="auto"/>
                                            <w:right w:val="none" w:sz="0" w:space="0" w:color="auto"/>
                                          </w:divBdr>
                                        </w:div>
                                        <w:div w:id="157352832">
                                          <w:marLeft w:val="0"/>
                                          <w:marRight w:val="0"/>
                                          <w:marTop w:val="240"/>
                                          <w:marBottom w:val="240"/>
                                          <w:divBdr>
                                            <w:top w:val="none" w:sz="0" w:space="0" w:color="auto"/>
                                            <w:left w:val="none" w:sz="0" w:space="0" w:color="auto"/>
                                            <w:bottom w:val="none" w:sz="0" w:space="0" w:color="auto"/>
                                            <w:right w:val="none" w:sz="0" w:space="0" w:color="auto"/>
                                          </w:divBdr>
                                        </w:div>
                                        <w:div w:id="157353053">
                                          <w:marLeft w:val="0"/>
                                          <w:marRight w:val="0"/>
                                          <w:marTop w:val="240"/>
                                          <w:marBottom w:val="240"/>
                                          <w:divBdr>
                                            <w:top w:val="none" w:sz="0" w:space="0" w:color="auto"/>
                                            <w:left w:val="none" w:sz="0" w:space="0" w:color="auto"/>
                                            <w:bottom w:val="none" w:sz="0" w:space="0" w:color="auto"/>
                                            <w:right w:val="none" w:sz="0" w:space="0" w:color="auto"/>
                                          </w:divBdr>
                                        </w:div>
                                        <w:div w:id="1573533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53047">
      <w:marLeft w:val="0"/>
      <w:marRight w:val="0"/>
      <w:marTop w:val="0"/>
      <w:marBottom w:val="0"/>
      <w:divBdr>
        <w:top w:val="none" w:sz="0" w:space="0" w:color="auto"/>
        <w:left w:val="none" w:sz="0" w:space="0" w:color="auto"/>
        <w:bottom w:val="none" w:sz="0" w:space="0" w:color="auto"/>
        <w:right w:val="none" w:sz="0" w:space="0" w:color="auto"/>
      </w:divBdr>
    </w:div>
    <w:div w:id="157353051">
      <w:marLeft w:val="0"/>
      <w:marRight w:val="0"/>
      <w:marTop w:val="0"/>
      <w:marBottom w:val="0"/>
      <w:divBdr>
        <w:top w:val="none" w:sz="0" w:space="0" w:color="auto"/>
        <w:left w:val="none" w:sz="0" w:space="0" w:color="auto"/>
        <w:bottom w:val="none" w:sz="0" w:space="0" w:color="auto"/>
        <w:right w:val="none" w:sz="0" w:space="0" w:color="auto"/>
      </w:divBdr>
      <w:divsChild>
        <w:div w:id="157352550">
          <w:marLeft w:val="0"/>
          <w:marRight w:val="0"/>
          <w:marTop w:val="0"/>
          <w:marBottom w:val="0"/>
          <w:divBdr>
            <w:top w:val="none" w:sz="0" w:space="0" w:color="auto"/>
            <w:left w:val="none" w:sz="0" w:space="0" w:color="auto"/>
            <w:bottom w:val="none" w:sz="0" w:space="0" w:color="auto"/>
            <w:right w:val="none" w:sz="0" w:space="0" w:color="auto"/>
          </w:divBdr>
          <w:divsChild>
            <w:div w:id="157353146">
              <w:marLeft w:val="0"/>
              <w:marRight w:val="0"/>
              <w:marTop w:val="0"/>
              <w:marBottom w:val="150"/>
              <w:divBdr>
                <w:top w:val="none" w:sz="0" w:space="0" w:color="auto"/>
                <w:left w:val="none" w:sz="0" w:space="0" w:color="auto"/>
                <w:bottom w:val="none" w:sz="0" w:space="0" w:color="auto"/>
                <w:right w:val="none" w:sz="0" w:space="0" w:color="auto"/>
              </w:divBdr>
              <w:divsChild>
                <w:div w:id="1573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3056">
      <w:marLeft w:val="0"/>
      <w:marRight w:val="0"/>
      <w:marTop w:val="0"/>
      <w:marBottom w:val="0"/>
      <w:divBdr>
        <w:top w:val="none" w:sz="0" w:space="0" w:color="auto"/>
        <w:left w:val="none" w:sz="0" w:space="0" w:color="auto"/>
        <w:bottom w:val="none" w:sz="0" w:space="0" w:color="auto"/>
        <w:right w:val="none" w:sz="0" w:space="0" w:color="auto"/>
      </w:divBdr>
      <w:divsChild>
        <w:div w:id="157352890">
          <w:marLeft w:val="0"/>
          <w:marRight w:val="0"/>
          <w:marTop w:val="0"/>
          <w:marBottom w:val="0"/>
          <w:divBdr>
            <w:top w:val="none" w:sz="0" w:space="0" w:color="auto"/>
            <w:left w:val="none" w:sz="0" w:space="0" w:color="auto"/>
            <w:bottom w:val="none" w:sz="0" w:space="0" w:color="auto"/>
            <w:right w:val="none" w:sz="0" w:space="0" w:color="auto"/>
          </w:divBdr>
          <w:divsChild>
            <w:div w:id="157352988">
              <w:marLeft w:val="0"/>
              <w:marRight w:val="0"/>
              <w:marTop w:val="0"/>
              <w:marBottom w:val="0"/>
              <w:divBdr>
                <w:top w:val="none" w:sz="0" w:space="0" w:color="auto"/>
                <w:left w:val="none" w:sz="0" w:space="0" w:color="auto"/>
                <w:bottom w:val="none" w:sz="0" w:space="0" w:color="auto"/>
                <w:right w:val="none" w:sz="0" w:space="0" w:color="auto"/>
              </w:divBdr>
              <w:divsChild>
                <w:div w:id="157352891">
                  <w:marLeft w:val="0"/>
                  <w:marRight w:val="0"/>
                  <w:marTop w:val="0"/>
                  <w:marBottom w:val="0"/>
                  <w:divBdr>
                    <w:top w:val="none" w:sz="0" w:space="0" w:color="auto"/>
                    <w:left w:val="none" w:sz="0" w:space="0" w:color="auto"/>
                    <w:bottom w:val="none" w:sz="0" w:space="0" w:color="auto"/>
                    <w:right w:val="none" w:sz="0" w:space="0" w:color="auto"/>
                  </w:divBdr>
                  <w:divsChild>
                    <w:div w:id="157352592">
                      <w:marLeft w:val="0"/>
                      <w:marRight w:val="0"/>
                      <w:marTop w:val="0"/>
                      <w:marBottom w:val="0"/>
                      <w:divBdr>
                        <w:top w:val="none" w:sz="0" w:space="0" w:color="auto"/>
                        <w:left w:val="none" w:sz="0" w:space="0" w:color="auto"/>
                        <w:bottom w:val="none" w:sz="0" w:space="0" w:color="auto"/>
                        <w:right w:val="none" w:sz="0" w:space="0" w:color="auto"/>
                      </w:divBdr>
                      <w:divsChild>
                        <w:div w:id="157353239">
                          <w:marLeft w:val="0"/>
                          <w:marRight w:val="0"/>
                          <w:marTop w:val="0"/>
                          <w:marBottom w:val="0"/>
                          <w:divBdr>
                            <w:top w:val="none" w:sz="0" w:space="0" w:color="auto"/>
                            <w:left w:val="none" w:sz="0" w:space="0" w:color="auto"/>
                            <w:bottom w:val="none" w:sz="0" w:space="0" w:color="auto"/>
                            <w:right w:val="none" w:sz="0" w:space="0" w:color="auto"/>
                          </w:divBdr>
                          <w:divsChild>
                            <w:div w:id="157353355">
                              <w:marLeft w:val="0"/>
                              <w:marRight w:val="0"/>
                              <w:marTop w:val="0"/>
                              <w:marBottom w:val="0"/>
                              <w:divBdr>
                                <w:top w:val="none" w:sz="0" w:space="0" w:color="auto"/>
                                <w:left w:val="none" w:sz="0" w:space="0" w:color="auto"/>
                                <w:bottom w:val="none" w:sz="0" w:space="0" w:color="auto"/>
                                <w:right w:val="none" w:sz="0" w:space="0" w:color="auto"/>
                              </w:divBdr>
                              <w:divsChild>
                                <w:div w:id="157352594">
                                  <w:marLeft w:val="0"/>
                                  <w:marRight w:val="0"/>
                                  <w:marTop w:val="0"/>
                                  <w:marBottom w:val="390"/>
                                  <w:divBdr>
                                    <w:top w:val="none" w:sz="0" w:space="0" w:color="auto"/>
                                    <w:left w:val="none" w:sz="0" w:space="0" w:color="auto"/>
                                    <w:bottom w:val="none" w:sz="0" w:space="0" w:color="auto"/>
                                    <w:right w:val="none" w:sz="0" w:space="0" w:color="auto"/>
                                  </w:divBdr>
                                  <w:divsChild>
                                    <w:div w:id="157352505">
                                      <w:marLeft w:val="0"/>
                                      <w:marRight w:val="0"/>
                                      <w:marTop w:val="0"/>
                                      <w:marBottom w:val="0"/>
                                      <w:divBdr>
                                        <w:top w:val="none" w:sz="0" w:space="0" w:color="auto"/>
                                        <w:left w:val="none" w:sz="0" w:space="0" w:color="auto"/>
                                        <w:bottom w:val="none" w:sz="0" w:space="0" w:color="auto"/>
                                        <w:right w:val="none" w:sz="0" w:space="0" w:color="auto"/>
                                      </w:divBdr>
                                      <w:divsChild>
                                        <w:div w:id="157352838">
                                          <w:marLeft w:val="0"/>
                                          <w:marRight w:val="0"/>
                                          <w:marTop w:val="240"/>
                                          <w:marBottom w:val="240"/>
                                          <w:divBdr>
                                            <w:top w:val="none" w:sz="0" w:space="0" w:color="auto"/>
                                            <w:left w:val="none" w:sz="0" w:space="0" w:color="auto"/>
                                            <w:bottom w:val="none" w:sz="0" w:space="0" w:color="auto"/>
                                            <w:right w:val="none" w:sz="0" w:space="0" w:color="auto"/>
                                          </w:divBdr>
                                        </w:div>
                                        <w:div w:id="1573530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53058">
      <w:marLeft w:val="0"/>
      <w:marRight w:val="0"/>
      <w:marTop w:val="0"/>
      <w:marBottom w:val="0"/>
      <w:divBdr>
        <w:top w:val="none" w:sz="0" w:space="0" w:color="auto"/>
        <w:left w:val="none" w:sz="0" w:space="0" w:color="auto"/>
        <w:bottom w:val="none" w:sz="0" w:space="0" w:color="auto"/>
        <w:right w:val="none" w:sz="0" w:space="0" w:color="auto"/>
      </w:divBdr>
      <w:divsChild>
        <w:div w:id="157352810">
          <w:marLeft w:val="0"/>
          <w:marRight w:val="0"/>
          <w:marTop w:val="0"/>
          <w:marBottom w:val="0"/>
          <w:divBdr>
            <w:top w:val="none" w:sz="0" w:space="0" w:color="auto"/>
            <w:left w:val="none" w:sz="0" w:space="0" w:color="auto"/>
            <w:bottom w:val="none" w:sz="0" w:space="0" w:color="auto"/>
            <w:right w:val="none" w:sz="0" w:space="0" w:color="auto"/>
          </w:divBdr>
          <w:divsChild>
            <w:div w:id="157353133">
              <w:marLeft w:val="0"/>
              <w:marRight w:val="0"/>
              <w:marTop w:val="0"/>
              <w:marBottom w:val="150"/>
              <w:divBdr>
                <w:top w:val="none" w:sz="0" w:space="0" w:color="auto"/>
                <w:left w:val="none" w:sz="0" w:space="0" w:color="auto"/>
                <w:bottom w:val="none" w:sz="0" w:space="0" w:color="auto"/>
                <w:right w:val="none" w:sz="0" w:space="0" w:color="auto"/>
              </w:divBdr>
              <w:divsChild>
                <w:div w:id="1573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3069">
      <w:marLeft w:val="0"/>
      <w:marRight w:val="0"/>
      <w:marTop w:val="0"/>
      <w:marBottom w:val="0"/>
      <w:divBdr>
        <w:top w:val="none" w:sz="0" w:space="0" w:color="auto"/>
        <w:left w:val="none" w:sz="0" w:space="0" w:color="auto"/>
        <w:bottom w:val="none" w:sz="0" w:space="0" w:color="auto"/>
        <w:right w:val="none" w:sz="0" w:space="0" w:color="auto"/>
      </w:divBdr>
    </w:div>
    <w:div w:id="157353074">
      <w:marLeft w:val="0"/>
      <w:marRight w:val="0"/>
      <w:marTop w:val="0"/>
      <w:marBottom w:val="0"/>
      <w:divBdr>
        <w:top w:val="none" w:sz="0" w:space="0" w:color="auto"/>
        <w:left w:val="none" w:sz="0" w:space="0" w:color="auto"/>
        <w:bottom w:val="none" w:sz="0" w:space="0" w:color="auto"/>
        <w:right w:val="none" w:sz="0" w:space="0" w:color="auto"/>
      </w:divBdr>
      <w:divsChild>
        <w:div w:id="157353068">
          <w:marLeft w:val="0"/>
          <w:marRight w:val="0"/>
          <w:marTop w:val="0"/>
          <w:marBottom w:val="150"/>
          <w:divBdr>
            <w:top w:val="single" w:sz="6" w:space="12" w:color="C9C9C9"/>
            <w:left w:val="single" w:sz="6" w:space="12" w:color="C9C9C9"/>
            <w:bottom w:val="single" w:sz="6" w:space="12" w:color="C9C9C9"/>
            <w:right w:val="single" w:sz="6" w:space="12" w:color="C9C9C9"/>
          </w:divBdr>
          <w:divsChild>
            <w:div w:id="157353293">
              <w:marLeft w:val="0"/>
              <w:marRight w:val="180"/>
              <w:marTop w:val="0"/>
              <w:marBottom w:val="0"/>
              <w:divBdr>
                <w:top w:val="none" w:sz="0" w:space="0" w:color="auto"/>
                <w:left w:val="none" w:sz="0" w:space="0" w:color="auto"/>
                <w:bottom w:val="none" w:sz="0" w:space="0" w:color="auto"/>
                <w:right w:val="none" w:sz="0" w:space="0" w:color="auto"/>
              </w:divBdr>
              <w:divsChild>
                <w:div w:id="157353153">
                  <w:marLeft w:val="0"/>
                  <w:marRight w:val="0"/>
                  <w:marTop w:val="225"/>
                  <w:marBottom w:val="0"/>
                  <w:divBdr>
                    <w:top w:val="none" w:sz="0" w:space="0" w:color="auto"/>
                    <w:left w:val="none" w:sz="0" w:space="0" w:color="auto"/>
                    <w:bottom w:val="single" w:sz="6" w:space="11" w:color="B1B1B1"/>
                    <w:right w:val="none" w:sz="0" w:space="0" w:color="auto"/>
                  </w:divBdr>
                </w:div>
              </w:divsChild>
            </w:div>
          </w:divsChild>
        </w:div>
      </w:divsChild>
    </w:div>
    <w:div w:id="157353075">
      <w:marLeft w:val="0"/>
      <w:marRight w:val="0"/>
      <w:marTop w:val="0"/>
      <w:marBottom w:val="0"/>
      <w:divBdr>
        <w:top w:val="none" w:sz="0" w:space="0" w:color="auto"/>
        <w:left w:val="none" w:sz="0" w:space="0" w:color="auto"/>
        <w:bottom w:val="none" w:sz="0" w:space="0" w:color="auto"/>
        <w:right w:val="none" w:sz="0" w:space="0" w:color="auto"/>
      </w:divBdr>
      <w:divsChild>
        <w:div w:id="157352537">
          <w:marLeft w:val="0"/>
          <w:marRight w:val="0"/>
          <w:marTop w:val="0"/>
          <w:marBottom w:val="0"/>
          <w:divBdr>
            <w:top w:val="none" w:sz="0" w:space="0" w:color="auto"/>
            <w:left w:val="none" w:sz="0" w:space="0" w:color="auto"/>
            <w:bottom w:val="none" w:sz="0" w:space="0" w:color="auto"/>
            <w:right w:val="none" w:sz="0" w:space="0" w:color="auto"/>
          </w:divBdr>
          <w:divsChild>
            <w:div w:id="157352813">
              <w:marLeft w:val="0"/>
              <w:marRight w:val="0"/>
              <w:marTop w:val="0"/>
              <w:marBottom w:val="150"/>
              <w:divBdr>
                <w:top w:val="none" w:sz="0" w:space="0" w:color="auto"/>
                <w:left w:val="none" w:sz="0" w:space="0" w:color="auto"/>
                <w:bottom w:val="none" w:sz="0" w:space="0" w:color="auto"/>
                <w:right w:val="none" w:sz="0" w:space="0" w:color="auto"/>
              </w:divBdr>
              <w:divsChild>
                <w:div w:id="1573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3076">
      <w:marLeft w:val="0"/>
      <w:marRight w:val="0"/>
      <w:marTop w:val="0"/>
      <w:marBottom w:val="0"/>
      <w:divBdr>
        <w:top w:val="none" w:sz="0" w:space="0" w:color="auto"/>
        <w:left w:val="none" w:sz="0" w:space="0" w:color="auto"/>
        <w:bottom w:val="none" w:sz="0" w:space="0" w:color="auto"/>
        <w:right w:val="none" w:sz="0" w:space="0" w:color="auto"/>
      </w:divBdr>
    </w:div>
    <w:div w:id="157353078">
      <w:marLeft w:val="0"/>
      <w:marRight w:val="0"/>
      <w:marTop w:val="0"/>
      <w:marBottom w:val="0"/>
      <w:divBdr>
        <w:top w:val="none" w:sz="0" w:space="0" w:color="auto"/>
        <w:left w:val="none" w:sz="0" w:space="0" w:color="auto"/>
        <w:bottom w:val="none" w:sz="0" w:space="0" w:color="auto"/>
        <w:right w:val="none" w:sz="0" w:space="0" w:color="auto"/>
      </w:divBdr>
      <w:divsChild>
        <w:div w:id="157353309">
          <w:marLeft w:val="0"/>
          <w:marRight w:val="0"/>
          <w:marTop w:val="0"/>
          <w:marBottom w:val="0"/>
          <w:divBdr>
            <w:top w:val="none" w:sz="0" w:space="0" w:color="auto"/>
            <w:left w:val="none" w:sz="0" w:space="0" w:color="auto"/>
            <w:bottom w:val="none" w:sz="0" w:space="0" w:color="auto"/>
            <w:right w:val="none" w:sz="0" w:space="0" w:color="auto"/>
          </w:divBdr>
          <w:divsChild>
            <w:div w:id="157352636">
              <w:marLeft w:val="0"/>
              <w:marRight w:val="0"/>
              <w:marTop w:val="0"/>
              <w:marBottom w:val="150"/>
              <w:divBdr>
                <w:top w:val="none" w:sz="0" w:space="0" w:color="auto"/>
                <w:left w:val="none" w:sz="0" w:space="0" w:color="auto"/>
                <w:bottom w:val="none" w:sz="0" w:space="0" w:color="auto"/>
                <w:right w:val="none" w:sz="0" w:space="0" w:color="auto"/>
              </w:divBdr>
              <w:divsChild>
                <w:div w:id="1573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3087">
      <w:marLeft w:val="0"/>
      <w:marRight w:val="0"/>
      <w:marTop w:val="0"/>
      <w:marBottom w:val="0"/>
      <w:divBdr>
        <w:top w:val="none" w:sz="0" w:space="0" w:color="auto"/>
        <w:left w:val="none" w:sz="0" w:space="0" w:color="auto"/>
        <w:bottom w:val="none" w:sz="0" w:space="0" w:color="auto"/>
        <w:right w:val="none" w:sz="0" w:space="0" w:color="auto"/>
      </w:divBdr>
    </w:div>
    <w:div w:id="157353095">
      <w:marLeft w:val="0"/>
      <w:marRight w:val="0"/>
      <w:marTop w:val="0"/>
      <w:marBottom w:val="0"/>
      <w:divBdr>
        <w:top w:val="none" w:sz="0" w:space="0" w:color="auto"/>
        <w:left w:val="none" w:sz="0" w:space="0" w:color="auto"/>
        <w:bottom w:val="none" w:sz="0" w:space="0" w:color="auto"/>
        <w:right w:val="none" w:sz="0" w:space="0" w:color="auto"/>
      </w:divBdr>
      <w:divsChild>
        <w:div w:id="157353000">
          <w:marLeft w:val="0"/>
          <w:marRight w:val="0"/>
          <w:marTop w:val="0"/>
          <w:marBottom w:val="0"/>
          <w:divBdr>
            <w:top w:val="none" w:sz="0" w:space="0" w:color="auto"/>
            <w:left w:val="none" w:sz="0" w:space="0" w:color="auto"/>
            <w:bottom w:val="none" w:sz="0" w:space="0" w:color="auto"/>
            <w:right w:val="none" w:sz="0" w:space="0" w:color="auto"/>
          </w:divBdr>
          <w:divsChild>
            <w:div w:id="157352875">
              <w:marLeft w:val="0"/>
              <w:marRight w:val="0"/>
              <w:marTop w:val="0"/>
              <w:marBottom w:val="150"/>
              <w:divBdr>
                <w:top w:val="none" w:sz="0" w:space="0" w:color="auto"/>
                <w:left w:val="none" w:sz="0" w:space="0" w:color="auto"/>
                <w:bottom w:val="none" w:sz="0" w:space="0" w:color="auto"/>
                <w:right w:val="none" w:sz="0" w:space="0" w:color="auto"/>
              </w:divBdr>
              <w:divsChild>
                <w:div w:id="1573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3096">
      <w:marLeft w:val="0"/>
      <w:marRight w:val="0"/>
      <w:marTop w:val="0"/>
      <w:marBottom w:val="0"/>
      <w:divBdr>
        <w:top w:val="none" w:sz="0" w:space="0" w:color="auto"/>
        <w:left w:val="none" w:sz="0" w:space="0" w:color="auto"/>
        <w:bottom w:val="none" w:sz="0" w:space="0" w:color="auto"/>
        <w:right w:val="none" w:sz="0" w:space="0" w:color="auto"/>
      </w:divBdr>
    </w:div>
    <w:div w:id="157353097">
      <w:marLeft w:val="0"/>
      <w:marRight w:val="0"/>
      <w:marTop w:val="0"/>
      <w:marBottom w:val="0"/>
      <w:divBdr>
        <w:top w:val="none" w:sz="0" w:space="0" w:color="auto"/>
        <w:left w:val="none" w:sz="0" w:space="0" w:color="auto"/>
        <w:bottom w:val="none" w:sz="0" w:space="0" w:color="auto"/>
        <w:right w:val="none" w:sz="0" w:space="0" w:color="auto"/>
      </w:divBdr>
      <w:divsChild>
        <w:div w:id="157353224">
          <w:marLeft w:val="0"/>
          <w:marRight w:val="0"/>
          <w:marTop w:val="0"/>
          <w:marBottom w:val="0"/>
          <w:divBdr>
            <w:top w:val="none" w:sz="0" w:space="0" w:color="auto"/>
            <w:left w:val="none" w:sz="0" w:space="0" w:color="auto"/>
            <w:bottom w:val="none" w:sz="0" w:space="0" w:color="auto"/>
            <w:right w:val="none" w:sz="0" w:space="0" w:color="auto"/>
          </w:divBdr>
          <w:divsChild>
            <w:div w:id="157352840">
              <w:marLeft w:val="0"/>
              <w:marRight w:val="0"/>
              <w:marTop w:val="0"/>
              <w:marBottom w:val="150"/>
              <w:divBdr>
                <w:top w:val="none" w:sz="0" w:space="0" w:color="auto"/>
                <w:left w:val="none" w:sz="0" w:space="0" w:color="auto"/>
                <w:bottom w:val="none" w:sz="0" w:space="0" w:color="auto"/>
                <w:right w:val="none" w:sz="0" w:space="0" w:color="auto"/>
              </w:divBdr>
              <w:divsChild>
                <w:div w:id="1573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3099">
      <w:marLeft w:val="0"/>
      <w:marRight w:val="0"/>
      <w:marTop w:val="0"/>
      <w:marBottom w:val="0"/>
      <w:divBdr>
        <w:top w:val="none" w:sz="0" w:space="0" w:color="auto"/>
        <w:left w:val="none" w:sz="0" w:space="0" w:color="auto"/>
        <w:bottom w:val="none" w:sz="0" w:space="0" w:color="auto"/>
        <w:right w:val="none" w:sz="0" w:space="0" w:color="auto"/>
      </w:divBdr>
    </w:div>
    <w:div w:id="157353102">
      <w:marLeft w:val="0"/>
      <w:marRight w:val="0"/>
      <w:marTop w:val="0"/>
      <w:marBottom w:val="0"/>
      <w:divBdr>
        <w:top w:val="none" w:sz="0" w:space="0" w:color="auto"/>
        <w:left w:val="none" w:sz="0" w:space="0" w:color="auto"/>
        <w:bottom w:val="none" w:sz="0" w:space="0" w:color="auto"/>
        <w:right w:val="none" w:sz="0" w:space="0" w:color="auto"/>
      </w:divBdr>
      <w:divsChild>
        <w:div w:id="157352746">
          <w:marLeft w:val="0"/>
          <w:marRight w:val="0"/>
          <w:marTop w:val="0"/>
          <w:marBottom w:val="0"/>
          <w:divBdr>
            <w:top w:val="none" w:sz="0" w:space="0" w:color="auto"/>
            <w:left w:val="none" w:sz="0" w:space="0" w:color="auto"/>
            <w:bottom w:val="none" w:sz="0" w:space="0" w:color="auto"/>
            <w:right w:val="none" w:sz="0" w:space="0" w:color="auto"/>
          </w:divBdr>
          <w:divsChild>
            <w:div w:id="157352953">
              <w:marLeft w:val="0"/>
              <w:marRight w:val="0"/>
              <w:marTop w:val="0"/>
              <w:marBottom w:val="150"/>
              <w:divBdr>
                <w:top w:val="none" w:sz="0" w:space="0" w:color="auto"/>
                <w:left w:val="none" w:sz="0" w:space="0" w:color="auto"/>
                <w:bottom w:val="none" w:sz="0" w:space="0" w:color="auto"/>
                <w:right w:val="none" w:sz="0" w:space="0" w:color="auto"/>
              </w:divBdr>
              <w:divsChild>
                <w:div w:id="1573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3106">
      <w:marLeft w:val="0"/>
      <w:marRight w:val="0"/>
      <w:marTop w:val="0"/>
      <w:marBottom w:val="0"/>
      <w:divBdr>
        <w:top w:val="none" w:sz="0" w:space="0" w:color="auto"/>
        <w:left w:val="none" w:sz="0" w:space="0" w:color="auto"/>
        <w:bottom w:val="none" w:sz="0" w:space="0" w:color="auto"/>
        <w:right w:val="none" w:sz="0" w:space="0" w:color="auto"/>
      </w:divBdr>
    </w:div>
    <w:div w:id="157353108">
      <w:marLeft w:val="0"/>
      <w:marRight w:val="0"/>
      <w:marTop w:val="0"/>
      <w:marBottom w:val="0"/>
      <w:divBdr>
        <w:top w:val="none" w:sz="0" w:space="0" w:color="auto"/>
        <w:left w:val="none" w:sz="0" w:space="0" w:color="auto"/>
        <w:bottom w:val="none" w:sz="0" w:space="0" w:color="auto"/>
        <w:right w:val="none" w:sz="0" w:space="0" w:color="auto"/>
      </w:divBdr>
    </w:div>
    <w:div w:id="157353112">
      <w:marLeft w:val="0"/>
      <w:marRight w:val="0"/>
      <w:marTop w:val="0"/>
      <w:marBottom w:val="0"/>
      <w:divBdr>
        <w:top w:val="none" w:sz="0" w:space="0" w:color="auto"/>
        <w:left w:val="none" w:sz="0" w:space="0" w:color="auto"/>
        <w:bottom w:val="none" w:sz="0" w:space="0" w:color="auto"/>
        <w:right w:val="none" w:sz="0" w:space="0" w:color="auto"/>
      </w:divBdr>
      <w:divsChild>
        <w:div w:id="157353084">
          <w:marLeft w:val="0"/>
          <w:marRight w:val="0"/>
          <w:marTop w:val="0"/>
          <w:marBottom w:val="0"/>
          <w:divBdr>
            <w:top w:val="none" w:sz="0" w:space="0" w:color="auto"/>
            <w:left w:val="none" w:sz="0" w:space="0" w:color="auto"/>
            <w:bottom w:val="none" w:sz="0" w:space="0" w:color="auto"/>
            <w:right w:val="none" w:sz="0" w:space="0" w:color="auto"/>
          </w:divBdr>
          <w:divsChild>
            <w:div w:id="157353169">
              <w:marLeft w:val="0"/>
              <w:marRight w:val="0"/>
              <w:marTop w:val="0"/>
              <w:marBottom w:val="150"/>
              <w:divBdr>
                <w:top w:val="none" w:sz="0" w:space="0" w:color="auto"/>
                <w:left w:val="none" w:sz="0" w:space="0" w:color="auto"/>
                <w:bottom w:val="none" w:sz="0" w:space="0" w:color="auto"/>
                <w:right w:val="none" w:sz="0" w:space="0" w:color="auto"/>
              </w:divBdr>
              <w:divsChild>
                <w:div w:id="157353324">
                  <w:marLeft w:val="0"/>
                  <w:marRight w:val="0"/>
                  <w:marTop w:val="0"/>
                  <w:marBottom w:val="0"/>
                  <w:divBdr>
                    <w:top w:val="none" w:sz="0" w:space="0" w:color="auto"/>
                    <w:left w:val="none" w:sz="0" w:space="0" w:color="auto"/>
                    <w:bottom w:val="none" w:sz="0" w:space="0" w:color="auto"/>
                    <w:right w:val="none" w:sz="0" w:space="0" w:color="auto"/>
                  </w:divBdr>
                  <w:divsChild>
                    <w:div w:id="157353148">
                      <w:marLeft w:val="0"/>
                      <w:marRight w:val="0"/>
                      <w:marTop w:val="0"/>
                      <w:marBottom w:val="0"/>
                      <w:divBdr>
                        <w:top w:val="none" w:sz="0" w:space="0" w:color="auto"/>
                        <w:left w:val="none" w:sz="0" w:space="0" w:color="auto"/>
                        <w:bottom w:val="none" w:sz="0" w:space="0" w:color="auto"/>
                        <w:right w:val="none" w:sz="0" w:space="0" w:color="auto"/>
                      </w:divBdr>
                      <w:divsChild>
                        <w:div w:id="1573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3113">
      <w:marLeft w:val="0"/>
      <w:marRight w:val="0"/>
      <w:marTop w:val="0"/>
      <w:marBottom w:val="0"/>
      <w:divBdr>
        <w:top w:val="none" w:sz="0" w:space="0" w:color="auto"/>
        <w:left w:val="none" w:sz="0" w:space="0" w:color="auto"/>
        <w:bottom w:val="none" w:sz="0" w:space="0" w:color="auto"/>
        <w:right w:val="none" w:sz="0" w:space="0" w:color="auto"/>
      </w:divBdr>
      <w:divsChild>
        <w:div w:id="157353014">
          <w:marLeft w:val="0"/>
          <w:marRight w:val="0"/>
          <w:marTop w:val="0"/>
          <w:marBottom w:val="0"/>
          <w:divBdr>
            <w:top w:val="single" w:sz="6" w:space="0" w:color="EDEDED"/>
            <w:left w:val="none" w:sz="0" w:space="0" w:color="auto"/>
            <w:bottom w:val="single" w:sz="6" w:space="23" w:color="FFFFFF"/>
            <w:right w:val="none" w:sz="0" w:space="0" w:color="auto"/>
          </w:divBdr>
          <w:divsChild>
            <w:div w:id="157353236">
              <w:marLeft w:val="0"/>
              <w:marRight w:val="0"/>
              <w:marTop w:val="0"/>
              <w:marBottom w:val="0"/>
              <w:divBdr>
                <w:top w:val="none" w:sz="0" w:space="0" w:color="auto"/>
                <w:left w:val="none" w:sz="0" w:space="0" w:color="auto"/>
                <w:bottom w:val="none" w:sz="0" w:space="0" w:color="auto"/>
                <w:right w:val="none" w:sz="0" w:space="0" w:color="auto"/>
              </w:divBdr>
              <w:divsChild>
                <w:div w:id="157353048">
                  <w:marLeft w:val="0"/>
                  <w:marRight w:val="0"/>
                  <w:marTop w:val="0"/>
                  <w:marBottom w:val="0"/>
                  <w:divBdr>
                    <w:top w:val="none" w:sz="0" w:space="0" w:color="auto"/>
                    <w:left w:val="none" w:sz="0" w:space="0" w:color="auto"/>
                    <w:bottom w:val="none" w:sz="0" w:space="0" w:color="auto"/>
                    <w:right w:val="none" w:sz="0" w:space="0" w:color="auto"/>
                  </w:divBdr>
                  <w:divsChild>
                    <w:div w:id="157353107">
                      <w:marLeft w:val="0"/>
                      <w:marRight w:val="0"/>
                      <w:marTop w:val="0"/>
                      <w:marBottom w:val="0"/>
                      <w:divBdr>
                        <w:top w:val="none" w:sz="0" w:space="0" w:color="auto"/>
                        <w:left w:val="none" w:sz="0" w:space="0" w:color="auto"/>
                        <w:bottom w:val="none" w:sz="0" w:space="0" w:color="auto"/>
                        <w:right w:val="none" w:sz="0" w:space="0" w:color="auto"/>
                      </w:divBdr>
                      <w:divsChild>
                        <w:div w:id="157352755">
                          <w:marLeft w:val="0"/>
                          <w:marRight w:val="0"/>
                          <w:marTop w:val="0"/>
                          <w:marBottom w:val="0"/>
                          <w:divBdr>
                            <w:top w:val="none" w:sz="0" w:space="0" w:color="auto"/>
                            <w:left w:val="none" w:sz="0" w:space="0" w:color="auto"/>
                            <w:bottom w:val="none" w:sz="0" w:space="0" w:color="auto"/>
                            <w:right w:val="none" w:sz="0" w:space="0" w:color="auto"/>
                          </w:divBdr>
                          <w:divsChild>
                            <w:div w:id="1573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3118">
      <w:marLeft w:val="0"/>
      <w:marRight w:val="0"/>
      <w:marTop w:val="0"/>
      <w:marBottom w:val="0"/>
      <w:divBdr>
        <w:top w:val="none" w:sz="0" w:space="0" w:color="auto"/>
        <w:left w:val="none" w:sz="0" w:space="0" w:color="auto"/>
        <w:bottom w:val="none" w:sz="0" w:space="0" w:color="auto"/>
        <w:right w:val="none" w:sz="0" w:space="0" w:color="auto"/>
      </w:divBdr>
      <w:divsChild>
        <w:div w:id="157352734">
          <w:marLeft w:val="0"/>
          <w:marRight w:val="2250"/>
          <w:marTop w:val="0"/>
          <w:marBottom w:val="0"/>
          <w:divBdr>
            <w:top w:val="none" w:sz="0" w:space="0" w:color="auto"/>
            <w:left w:val="none" w:sz="0" w:space="0" w:color="auto"/>
            <w:bottom w:val="none" w:sz="0" w:space="0" w:color="auto"/>
            <w:right w:val="none" w:sz="0" w:space="0" w:color="auto"/>
          </w:divBdr>
          <w:divsChild>
            <w:div w:id="157352557">
              <w:marLeft w:val="113"/>
              <w:marRight w:val="113"/>
              <w:marTop w:val="40"/>
              <w:marBottom w:val="120"/>
              <w:divBdr>
                <w:top w:val="none" w:sz="0" w:space="0" w:color="auto"/>
                <w:left w:val="none" w:sz="0" w:space="0" w:color="auto"/>
                <w:bottom w:val="none" w:sz="0" w:space="0" w:color="auto"/>
                <w:right w:val="none" w:sz="0" w:space="0" w:color="auto"/>
              </w:divBdr>
            </w:div>
            <w:div w:id="157352587">
              <w:marLeft w:val="113"/>
              <w:marRight w:val="113"/>
              <w:marTop w:val="0"/>
              <w:marBottom w:val="0"/>
              <w:divBdr>
                <w:top w:val="none" w:sz="0" w:space="0" w:color="auto"/>
                <w:left w:val="none" w:sz="0" w:space="0" w:color="auto"/>
                <w:bottom w:val="none" w:sz="0" w:space="0" w:color="auto"/>
                <w:right w:val="none" w:sz="0" w:space="0" w:color="auto"/>
              </w:divBdr>
            </w:div>
            <w:div w:id="157352729">
              <w:marLeft w:val="113"/>
              <w:marRight w:val="113"/>
              <w:marTop w:val="0"/>
              <w:marBottom w:val="0"/>
              <w:divBdr>
                <w:top w:val="none" w:sz="0" w:space="0" w:color="auto"/>
                <w:left w:val="none" w:sz="0" w:space="0" w:color="auto"/>
                <w:bottom w:val="none" w:sz="0" w:space="0" w:color="auto"/>
                <w:right w:val="none" w:sz="0" w:space="0" w:color="auto"/>
              </w:divBdr>
            </w:div>
            <w:div w:id="157352754">
              <w:marLeft w:val="0"/>
              <w:marRight w:val="0"/>
              <w:marTop w:val="120"/>
              <w:marBottom w:val="120"/>
              <w:divBdr>
                <w:top w:val="none" w:sz="0" w:space="0" w:color="auto"/>
                <w:left w:val="none" w:sz="0" w:space="0" w:color="auto"/>
                <w:bottom w:val="none" w:sz="0" w:space="0" w:color="auto"/>
                <w:right w:val="none" w:sz="0" w:space="0" w:color="auto"/>
              </w:divBdr>
            </w:div>
            <w:div w:id="157352872">
              <w:marLeft w:val="113"/>
              <w:marRight w:val="113"/>
              <w:marTop w:val="0"/>
              <w:marBottom w:val="0"/>
              <w:divBdr>
                <w:top w:val="none" w:sz="0" w:space="0" w:color="auto"/>
                <w:left w:val="none" w:sz="0" w:space="0" w:color="auto"/>
                <w:bottom w:val="none" w:sz="0" w:space="0" w:color="auto"/>
                <w:right w:val="none" w:sz="0" w:space="0" w:color="auto"/>
              </w:divBdr>
            </w:div>
            <w:div w:id="157352904">
              <w:marLeft w:val="113"/>
              <w:marRight w:val="113"/>
              <w:marTop w:val="0"/>
              <w:marBottom w:val="0"/>
              <w:divBdr>
                <w:top w:val="none" w:sz="0" w:space="0" w:color="auto"/>
                <w:left w:val="none" w:sz="0" w:space="0" w:color="auto"/>
                <w:bottom w:val="none" w:sz="0" w:space="0" w:color="auto"/>
                <w:right w:val="none" w:sz="0" w:space="0" w:color="auto"/>
              </w:divBdr>
            </w:div>
            <w:div w:id="157352942">
              <w:marLeft w:val="113"/>
              <w:marRight w:val="113"/>
              <w:marTop w:val="0"/>
              <w:marBottom w:val="0"/>
              <w:divBdr>
                <w:top w:val="none" w:sz="0" w:space="0" w:color="auto"/>
                <w:left w:val="none" w:sz="0" w:space="0" w:color="auto"/>
                <w:bottom w:val="none" w:sz="0" w:space="0" w:color="auto"/>
                <w:right w:val="none" w:sz="0" w:space="0" w:color="auto"/>
              </w:divBdr>
            </w:div>
            <w:div w:id="157353031">
              <w:marLeft w:val="113"/>
              <w:marRight w:val="113"/>
              <w:marTop w:val="120"/>
              <w:marBottom w:val="0"/>
              <w:divBdr>
                <w:top w:val="none" w:sz="0" w:space="0" w:color="auto"/>
                <w:left w:val="none" w:sz="0" w:space="0" w:color="auto"/>
                <w:bottom w:val="none" w:sz="0" w:space="0" w:color="auto"/>
                <w:right w:val="none" w:sz="0" w:space="0" w:color="auto"/>
              </w:divBdr>
            </w:div>
            <w:div w:id="157353042">
              <w:marLeft w:val="113"/>
              <w:marRight w:val="113"/>
              <w:marTop w:val="0"/>
              <w:marBottom w:val="0"/>
              <w:divBdr>
                <w:top w:val="none" w:sz="0" w:space="0" w:color="auto"/>
                <w:left w:val="none" w:sz="0" w:space="0" w:color="auto"/>
                <w:bottom w:val="none" w:sz="0" w:space="0" w:color="auto"/>
                <w:right w:val="none" w:sz="0" w:space="0" w:color="auto"/>
              </w:divBdr>
            </w:div>
            <w:div w:id="157353066">
              <w:marLeft w:val="113"/>
              <w:marRight w:val="113"/>
              <w:marTop w:val="0"/>
              <w:marBottom w:val="0"/>
              <w:divBdr>
                <w:top w:val="none" w:sz="0" w:space="0" w:color="auto"/>
                <w:left w:val="none" w:sz="0" w:space="0" w:color="auto"/>
                <w:bottom w:val="none" w:sz="0" w:space="0" w:color="auto"/>
                <w:right w:val="none" w:sz="0" w:space="0" w:color="auto"/>
              </w:divBdr>
            </w:div>
            <w:div w:id="157353189">
              <w:marLeft w:val="113"/>
              <w:marRight w:val="113"/>
              <w:marTop w:val="0"/>
              <w:marBottom w:val="120"/>
              <w:divBdr>
                <w:top w:val="none" w:sz="0" w:space="0" w:color="auto"/>
                <w:left w:val="none" w:sz="0" w:space="0" w:color="auto"/>
                <w:bottom w:val="none" w:sz="0" w:space="0" w:color="auto"/>
                <w:right w:val="none" w:sz="0" w:space="0" w:color="auto"/>
              </w:divBdr>
            </w:div>
            <w:div w:id="157353204">
              <w:marLeft w:val="113"/>
              <w:marRight w:val="113"/>
              <w:marTop w:val="0"/>
              <w:marBottom w:val="0"/>
              <w:divBdr>
                <w:top w:val="none" w:sz="0" w:space="0" w:color="auto"/>
                <w:left w:val="none" w:sz="0" w:space="0" w:color="auto"/>
                <w:bottom w:val="none" w:sz="0" w:space="0" w:color="auto"/>
                <w:right w:val="none" w:sz="0" w:space="0" w:color="auto"/>
              </w:divBdr>
            </w:div>
            <w:div w:id="157353291">
              <w:marLeft w:val="113"/>
              <w:marRight w:val="113"/>
              <w:marTop w:val="0"/>
              <w:marBottom w:val="0"/>
              <w:divBdr>
                <w:top w:val="none" w:sz="0" w:space="0" w:color="auto"/>
                <w:left w:val="none" w:sz="0" w:space="0" w:color="auto"/>
                <w:bottom w:val="none" w:sz="0" w:space="0" w:color="auto"/>
                <w:right w:val="none" w:sz="0" w:space="0" w:color="auto"/>
              </w:divBdr>
            </w:div>
            <w:div w:id="157353372">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 w:id="157353120">
      <w:marLeft w:val="0"/>
      <w:marRight w:val="0"/>
      <w:marTop w:val="0"/>
      <w:marBottom w:val="0"/>
      <w:divBdr>
        <w:top w:val="none" w:sz="0" w:space="0" w:color="auto"/>
        <w:left w:val="none" w:sz="0" w:space="0" w:color="auto"/>
        <w:bottom w:val="none" w:sz="0" w:space="0" w:color="auto"/>
        <w:right w:val="none" w:sz="0" w:space="0" w:color="auto"/>
      </w:divBdr>
    </w:div>
    <w:div w:id="157353123">
      <w:marLeft w:val="0"/>
      <w:marRight w:val="0"/>
      <w:marTop w:val="0"/>
      <w:marBottom w:val="0"/>
      <w:divBdr>
        <w:top w:val="none" w:sz="0" w:space="0" w:color="auto"/>
        <w:left w:val="none" w:sz="0" w:space="0" w:color="auto"/>
        <w:bottom w:val="none" w:sz="0" w:space="0" w:color="auto"/>
        <w:right w:val="none" w:sz="0" w:space="0" w:color="auto"/>
      </w:divBdr>
      <w:divsChild>
        <w:div w:id="157353233">
          <w:marLeft w:val="0"/>
          <w:marRight w:val="0"/>
          <w:marTop w:val="0"/>
          <w:marBottom w:val="0"/>
          <w:divBdr>
            <w:top w:val="none" w:sz="0" w:space="0" w:color="auto"/>
            <w:left w:val="none" w:sz="0" w:space="0" w:color="auto"/>
            <w:bottom w:val="none" w:sz="0" w:space="0" w:color="auto"/>
            <w:right w:val="none" w:sz="0" w:space="0" w:color="auto"/>
          </w:divBdr>
        </w:div>
      </w:divsChild>
    </w:div>
    <w:div w:id="157353127">
      <w:marLeft w:val="0"/>
      <w:marRight w:val="0"/>
      <w:marTop w:val="0"/>
      <w:marBottom w:val="0"/>
      <w:divBdr>
        <w:top w:val="none" w:sz="0" w:space="0" w:color="auto"/>
        <w:left w:val="none" w:sz="0" w:space="0" w:color="auto"/>
        <w:bottom w:val="none" w:sz="0" w:space="0" w:color="auto"/>
        <w:right w:val="none" w:sz="0" w:space="0" w:color="auto"/>
      </w:divBdr>
      <w:divsChild>
        <w:div w:id="157352625">
          <w:marLeft w:val="0"/>
          <w:marRight w:val="0"/>
          <w:marTop w:val="0"/>
          <w:marBottom w:val="0"/>
          <w:divBdr>
            <w:top w:val="none" w:sz="0" w:space="0" w:color="auto"/>
            <w:left w:val="none" w:sz="0" w:space="0" w:color="auto"/>
            <w:bottom w:val="none" w:sz="0" w:space="0" w:color="auto"/>
            <w:right w:val="none" w:sz="0" w:space="0" w:color="auto"/>
          </w:divBdr>
          <w:divsChild>
            <w:div w:id="157352916">
              <w:marLeft w:val="0"/>
              <w:marRight w:val="0"/>
              <w:marTop w:val="0"/>
              <w:marBottom w:val="150"/>
              <w:divBdr>
                <w:top w:val="none" w:sz="0" w:space="0" w:color="auto"/>
                <w:left w:val="none" w:sz="0" w:space="0" w:color="auto"/>
                <w:bottom w:val="none" w:sz="0" w:space="0" w:color="auto"/>
                <w:right w:val="none" w:sz="0" w:space="0" w:color="auto"/>
              </w:divBdr>
              <w:divsChild>
                <w:div w:id="157353090">
                  <w:marLeft w:val="0"/>
                  <w:marRight w:val="0"/>
                  <w:marTop w:val="0"/>
                  <w:marBottom w:val="0"/>
                  <w:divBdr>
                    <w:top w:val="none" w:sz="0" w:space="0" w:color="auto"/>
                    <w:left w:val="none" w:sz="0" w:space="0" w:color="auto"/>
                    <w:bottom w:val="none" w:sz="0" w:space="0" w:color="auto"/>
                    <w:right w:val="none" w:sz="0" w:space="0" w:color="auto"/>
                  </w:divBdr>
                  <w:divsChild>
                    <w:div w:id="157353255">
                      <w:marLeft w:val="0"/>
                      <w:marRight w:val="0"/>
                      <w:marTop w:val="0"/>
                      <w:marBottom w:val="0"/>
                      <w:divBdr>
                        <w:top w:val="none" w:sz="0" w:space="0" w:color="auto"/>
                        <w:left w:val="none" w:sz="0" w:space="0" w:color="auto"/>
                        <w:bottom w:val="none" w:sz="0" w:space="0" w:color="auto"/>
                        <w:right w:val="none" w:sz="0" w:space="0" w:color="auto"/>
                      </w:divBdr>
                      <w:divsChild>
                        <w:div w:id="1573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3128">
      <w:marLeft w:val="0"/>
      <w:marRight w:val="0"/>
      <w:marTop w:val="0"/>
      <w:marBottom w:val="0"/>
      <w:divBdr>
        <w:top w:val="none" w:sz="0" w:space="0" w:color="auto"/>
        <w:left w:val="none" w:sz="0" w:space="0" w:color="auto"/>
        <w:bottom w:val="none" w:sz="0" w:space="0" w:color="auto"/>
        <w:right w:val="none" w:sz="0" w:space="0" w:color="auto"/>
      </w:divBdr>
      <w:divsChild>
        <w:div w:id="157352984">
          <w:marLeft w:val="0"/>
          <w:marRight w:val="0"/>
          <w:marTop w:val="0"/>
          <w:marBottom w:val="0"/>
          <w:divBdr>
            <w:top w:val="none" w:sz="0" w:space="0" w:color="auto"/>
            <w:left w:val="none" w:sz="0" w:space="0" w:color="auto"/>
            <w:bottom w:val="none" w:sz="0" w:space="0" w:color="auto"/>
            <w:right w:val="none" w:sz="0" w:space="0" w:color="auto"/>
          </w:divBdr>
          <w:divsChild>
            <w:div w:id="157352787">
              <w:marLeft w:val="0"/>
              <w:marRight w:val="0"/>
              <w:marTop w:val="0"/>
              <w:marBottom w:val="0"/>
              <w:divBdr>
                <w:top w:val="none" w:sz="0" w:space="0" w:color="auto"/>
                <w:left w:val="none" w:sz="0" w:space="0" w:color="auto"/>
                <w:bottom w:val="none" w:sz="0" w:space="0" w:color="auto"/>
                <w:right w:val="none" w:sz="0" w:space="0" w:color="auto"/>
              </w:divBdr>
              <w:divsChild>
                <w:div w:id="157352606">
                  <w:marLeft w:val="0"/>
                  <w:marRight w:val="0"/>
                  <w:marTop w:val="0"/>
                  <w:marBottom w:val="0"/>
                  <w:divBdr>
                    <w:top w:val="none" w:sz="0" w:space="0" w:color="auto"/>
                    <w:left w:val="none" w:sz="0" w:space="0" w:color="auto"/>
                    <w:bottom w:val="none" w:sz="0" w:space="0" w:color="auto"/>
                    <w:right w:val="none" w:sz="0" w:space="0" w:color="auto"/>
                  </w:divBdr>
                  <w:divsChild>
                    <w:div w:id="157352685">
                      <w:marLeft w:val="0"/>
                      <w:marRight w:val="0"/>
                      <w:marTop w:val="0"/>
                      <w:marBottom w:val="0"/>
                      <w:divBdr>
                        <w:top w:val="none" w:sz="0" w:space="0" w:color="auto"/>
                        <w:left w:val="none" w:sz="0" w:space="0" w:color="auto"/>
                        <w:bottom w:val="none" w:sz="0" w:space="0" w:color="auto"/>
                        <w:right w:val="none" w:sz="0" w:space="0" w:color="auto"/>
                      </w:divBdr>
                      <w:divsChild>
                        <w:div w:id="157353164">
                          <w:marLeft w:val="0"/>
                          <w:marRight w:val="0"/>
                          <w:marTop w:val="0"/>
                          <w:marBottom w:val="0"/>
                          <w:divBdr>
                            <w:top w:val="none" w:sz="0" w:space="0" w:color="auto"/>
                            <w:left w:val="none" w:sz="0" w:space="0" w:color="auto"/>
                            <w:bottom w:val="none" w:sz="0" w:space="0" w:color="auto"/>
                            <w:right w:val="none" w:sz="0" w:space="0" w:color="auto"/>
                          </w:divBdr>
                          <w:divsChild>
                            <w:div w:id="157353357">
                              <w:marLeft w:val="0"/>
                              <w:marRight w:val="0"/>
                              <w:marTop w:val="0"/>
                              <w:marBottom w:val="0"/>
                              <w:divBdr>
                                <w:top w:val="none" w:sz="0" w:space="0" w:color="auto"/>
                                <w:left w:val="none" w:sz="0" w:space="0" w:color="auto"/>
                                <w:bottom w:val="none" w:sz="0" w:space="0" w:color="auto"/>
                                <w:right w:val="none" w:sz="0" w:space="0" w:color="auto"/>
                              </w:divBdr>
                              <w:divsChild>
                                <w:div w:id="157352846">
                                  <w:marLeft w:val="0"/>
                                  <w:marRight w:val="0"/>
                                  <w:marTop w:val="0"/>
                                  <w:marBottom w:val="390"/>
                                  <w:divBdr>
                                    <w:top w:val="none" w:sz="0" w:space="0" w:color="auto"/>
                                    <w:left w:val="none" w:sz="0" w:space="0" w:color="auto"/>
                                    <w:bottom w:val="none" w:sz="0" w:space="0" w:color="auto"/>
                                    <w:right w:val="none" w:sz="0" w:space="0" w:color="auto"/>
                                  </w:divBdr>
                                  <w:divsChild>
                                    <w:div w:id="157352826">
                                      <w:marLeft w:val="0"/>
                                      <w:marRight w:val="0"/>
                                      <w:marTop w:val="0"/>
                                      <w:marBottom w:val="0"/>
                                      <w:divBdr>
                                        <w:top w:val="none" w:sz="0" w:space="0" w:color="auto"/>
                                        <w:left w:val="none" w:sz="0" w:space="0" w:color="auto"/>
                                        <w:bottom w:val="none" w:sz="0" w:space="0" w:color="auto"/>
                                        <w:right w:val="none" w:sz="0" w:space="0" w:color="auto"/>
                                      </w:divBdr>
                                      <w:divsChild>
                                        <w:div w:id="1573531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53129">
      <w:marLeft w:val="0"/>
      <w:marRight w:val="0"/>
      <w:marTop w:val="0"/>
      <w:marBottom w:val="0"/>
      <w:divBdr>
        <w:top w:val="none" w:sz="0" w:space="0" w:color="auto"/>
        <w:left w:val="none" w:sz="0" w:space="0" w:color="auto"/>
        <w:bottom w:val="none" w:sz="0" w:space="0" w:color="auto"/>
        <w:right w:val="none" w:sz="0" w:space="0" w:color="auto"/>
      </w:divBdr>
    </w:div>
    <w:div w:id="157353131">
      <w:marLeft w:val="0"/>
      <w:marRight w:val="0"/>
      <w:marTop w:val="0"/>
      <w:marBottom w:val="0"/>
      <w:divBdr>
        <w:top w:val="none" w:sz="0" w:space="0" w:color="auto"/>
        <w:left w:val="none" w:sz="0" w:space="0" w:color="auto"/>
        <w:bottom w:val="none" w:sz="0" w:space="0" w:color="auto"/>
        <w:right w:val="none" w:sz="0" w:space="0" w:color="auto"/>
      </w:divBdr>
      <w:divsChild>
        <w:div w:id="157353250">
          <w:marLeft w:val="0"/>
          <w:marRight w:val="0"/>
          <w:marTop w:val="0"/>
          <w:marBottom w:val="0"/>
          <w:divBdr>
            <w:top w:val="single" w:sz="6" w:space="0" w:color="EDEDED"/>
            <w:left w:val="none" w:sz="0" w:space="0" w:color="auto"/>
            <w:bottom w:val="single" w:sz="6" w:space="23" w:color="FFFFFF"/>
            <w:right w:val="none" w:sz="0" w:space="0" w:color="auto"/>
          </w:divBdr>
          <w:divsChild>
            <w:div w:id="157352669">
              <w:marLeft w:val="0"/>
              <w:marRight w:val="0"/>
              <w:marTop w:val="0"/>
              <w:marBottom w:val="0"/>
              <w:divBdr>
                <w:top w:val="none" w:sz="0" w:space="0" w:color="auto"/>
                <w:left w:val="none" w:sz="0" w:space="0" w:color="auto"/>
                <w:bottom w:val="none" w:sz="0" w:space="0" w:color="auto"/>
                <w:right w:val="none" w:sz="0" w:space="0" w:color="auto"/>
              </w:divBdr>
              <w:divsChild>
                <w:div w:id="157352924">
                  <w:marLeft w:val="0"/>
                  <w:marRight w:val="0"/>
                  <w:marTop w:val="0"/>
                  <w:marBottom w:val="0"/>
                  <w:divBdr>
                    <w:top w:val="none" w:sz="0" w:space="0" w:color="auto"/>
                    <w:left w:val="none" w:sz="0" w:space="0" w:color="auto"/>
                    <w:bottom w:val="none" w:sz="0" w:space="0" w:color="auto"/>
                    <w:right w:val="none" w:sz="0" w:space="0" w:color="auto"/>
                  </w:divBdr>
                  <w:divsChild>
                    <w:div w:id="157352559">
                      <w:marLeft w:val="0"/>
                      <w:marRight w:val="0"/>
                      <w:marTop w:val="15"/>
                      <w:marBottom w:val="0"/>
                      <w:divBdr>
                        <w:top w:val="none" w:sz="0" w:space="0" w:color="auto"/>
                        <w:left w:val="none" w:sz="0" w:space="0" w:color="auto"/>
                        <w:bottom w:val="none" w:sz="0" w:space="0" w:color="auto"/>
                        <w:right w:val="none" w:sz="0" w:space="0" w:color="auto"/>
                      </w:divBdr>
                      <w:divsChild>
                        <w:div w:id="157352909">
                          <w:marLeft w:val="0"/>
                          <w:marRight w:val="0"/>
                          <w:marTop w:val="0"/>
                          <w:marBottom w:val="0"/>
                          <w:divBdr>
                            <w:top w:val="none" w:sz="0" w:space="0" w:color="auto"/>
                            <w:left w:val="none" w:sz="0" w:space="0" w:color="auto"/>
                            <w:bottom w:val="none" w:sz="0" w:space="0" w:color="auto"/>
                            <w:right w:val="none" w:sz="0" w:space="0" w:color="auto"/>
                          </w:divBdr>
                          <w:divsChild>
                            <w:div w:id="1573528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3138">
      <w:marLeft w:val="0"/>
      <w:marRight w:val="0"/>
      <w:marTop w:val="0"/>
      <w:marBottom w:val="0"/>
      <w:divBdr>
        <w:top w:val="none" w:sz="0" w:space="0" w:color="auto"/>
        <w:left w:val="none" w:sz="0" w:space="0" w:color="auto"/>
        <w:bottom w:val="none" w:sz="0" w:space="0" w:color="auto"/>
        <w:right w:val="none" w:sz="0" w:space="0" w:color="auto"/>
      </w:divBdr>
      <w:divsChild>
        <w:div w:id="157353360">
          <w:marLeft w:val="0"/>
          <w:marRight w:val="0"/>
          <w:marTop w:val="0"/>
          <w:marBottom w:val="0"/>
          <w:divBdr>
            <w:top w:val="none" w:sz="0" w:space="0" w:color="auto"/>
            <w:left w:val="none" w:sz="0" w:space="0" w:color="auto"/>
            <w:bottom w:val="none" w:sz="0" w:space="0" w:color="auto"/>
            <w:right w:val="none" w:sz="0" w:space="0" w:color="auto"/>
          </w:divBdr>
          <w:divsChild>
            <w:div w:id="157353307">
              <w:marLeft w:val="0"/>
              <w:marRight w:val="0"/>
              <w:marTop w:val="0"/>
              <w:marBottom w:val="0"/>
              <w:divBdr>
                <w:top w:val="none" w:sz="0" w:space="0" w:color="auto"/>
                <w:left w:val="none" w:sz="0" w:space="0" w:color="auto"/>
                <w:bottom w:val="none" w:sz="0" w:space="0" w:color="auto"/>
                <w:right w:val="none" w:sz="0" w:space="0" w:color="auto"/>
              </w:divBdr>
              <w:divsChild>
                <w:div w:id="157352931">
                  <w:marLeft w:val="0"/>
                  <w:marRight w:val="0"/>
                  <w:marTop w:val="0"/>
                  <w:marBottom w:val="0"/>
                  <w:divBdr>
                    <w:top w:val="none" w:sz="0" w:space="0" w:color="auto"/>
                    <w:left w:val="none" w:sz="0" w:space="0" w:color="auto"/>
                    <w:bottom w:val="none" w:sz="0" w:space="0" w:color="auto"/>
                    <w:right w:val="none" w:sz="0" w:space="0" w:color="auto"/>
                  </w:divBdr>
                  <w:divsChild>
                    <w:div w:id="157352853">
                      <w:marLeft w:val="0"/>
                      <w:marRight w:val="0"/>
                      <w:marTop w:val="0"/>
                      <w:marBottom w:val="0"/>
                      <w:divBdr>
                        <w:top w:val="none" w:sz="0" w:space="0" w:color="auto"/>
                        <w:left w:val="none" w:sz="0" w:space="0" w:color="auto"/>
                        <w:bottom w:val="none" w:sz="0" w:space="0" w:color="auto"/>
                        <w:right w:val="none" w:sz="0" w:space="0" w:color="auto"/>
                      </w:divBdr>
                      <w:divsChild>
                        <w:div w:id="157352880">
                          <w:marLeft w:val="0"/>
                          <w:marRight w:val="0"/>
                          <w:marTop w:val="0"/>
                          <w:marBottom w:val="0"/>
                          <w:divBdr>
                            <w:top w:val="none" w:sz="0" w:space="0" w:color="auto"/>
                            <w:left w:val="none" w:sz="0" w:space="0" w:color="auto"/>
                            <w:bottom w:val="none" w:sz="0" w:space="0" w:color="auto"/>
                            <w:right w:val="none" w:sz="0" w:space="0" w:color="auto"/>
                          </w:divBdr>
                          <w:divsChild>
                            <w:div w:id="157352811">
                              <w:marLeft w:val="0"/>
                              <w:marRight w:val="0"/>
                              <w:marTop w:val="0"/>
                              <w:marBottom w:val="0"/>
                              <w:divBdr>
                                <w:top w:val="none" w:sz="0" w:space="0" w:color="auto"/>
                                <w:left w:val="none" w:sz="0" w:space="0" w:color="auto"/>
                                <w:bottom w:val="none" w:sz="0" w:space="0" w:color="auto"/>
                                <w:right w:val="none" w:sz="0" w:space="0" w:color="auto"/>
                              </w:divBdr>
                              <w:divsChild>
                                <w:div w:id="157352613">
                                  <w:marLeft w:val="0"/>
                                  <w:marRight w:val="0"/>
                                  <w:marTop w:val="0"/>
                                  <w:marBottom w:val="390"/>
                                  <w:divBdr>
                                    <w:top w:val="none" w:sz="0" w:space="0" w:color="auto"/>
                                    <w:left w:val="none" w:sz="0" w:space="0" w:color="auto"/>
                                    <w:bottom w:val="none" w:sz="0" w:space="0" w:color="auto"/>
                                    <w:right w:val="none" w:sz="0" w:space="0" w:color="auto"/>
                                  </w:divBdr>
                                  <w:divsChild>
                                    <w:div w:id="157353212">
                                      <w:marLeft w:val="0"/>
                                      <w:marRight w:val="0"/>
                                      <w:marTop w:val="0"/>
                                      <w:marBottom w:val="0"/>
                                      <w:divBdr>
                                        <w:top w:val="none" w:sz="0" w:space="0" w:color="auto"/>
                                        <w:left w:val="none" w:sz="0" w:space="0" w:color="auto"/>
                                        <w:bottom w:val="none" w:sz="0" w:space="0" w:color="auto"/>
                                        <w:right w:val="none" w:sz="0" w:space="0" w:color="auto"/>
                                      </w:divBdr>
                                      <w:divsChild>
                                        <w:div w:id="157352698">
                                          <w:marLeft w:val="0"/>
                                          <w:marRight w:val="0"/>
                                          <w:marTop w:val="300"/>
                                          <w:marBottom w:val="750"/>
                                          <w:divBdr>
                                            <w:top w:val="single" w:sz="6" w:space="11" w:color="BBBBBB"/>
                                            <w:left w:val="single" w:sz="6" w:space="15" w:color="BBBBBB"/>
                                            <w:bottom w:val="single" w:sz="6" w:space="11" w:color="BBBBBB"/>
                                            <w:right w:val="single" w:sz="6" w:space="0" w:color="BBBBBB"/>
                                          </w:divBdr>
                                        </w:div>
                                      </w:divsChild>
                                    </w:div>
                                  </w:divsChild>
                                </w:div>
                              </w:divsChild>
                            </w:div>
                          </w:divsChild>
                        </w:div>
                      </w:divsChild>
                    </w:div>
                  </w:divsChild>
                </w:div>
              </w:divsChild>
            </w:div>
          </w:divsChild>
        </w:div>
      </w:divsChild>
    </w:div>
    <w:div w:id="157353142">
      <w:marLeft w:val="0"/>
      <w:marRight w:val="0"/>
      <w:marTop w:val="0"/>
      <w:marBottom w:val="0"/>
      <w:divBdr>
        <w:top w:val="none" w:sz="0" w:space="0" w:color="auto"/>
        <w:left w:val="none" w:sz="0" w:space="0" w:color="auto"/>
        <w:bottom w:val="none" w:sz="0" w:space="0" w:color="auto"/>
        <w:right w:val="none" w:sz="0" w:space="0" w:color="auto"/>
      </w:divBdr>
    </w:div>
    <w:div w:id="157353143">
      <w:marLeft w:val="0"/>
      <w:marRight w:val="0"/>
      <w:marTop w:val="0"/>
      <w:marBottom w:val="0"/>
      <w:divBdr>
        <w:top w:val="none" w:sz="0" w:space="0" w:color="auto"/>
        <w:left w:val="none" w:sz="0" w:space="0" w:color="auto"/>
        <w:bottom w:val="none" w:sz="0" w:space="0" w:color="auto"/>
        <w:right w:val="none" w:sz="0" w:space="0" w:color="auto"/>
      </w:divBdr>
    </w:div>
    <w:div w:id="157353144">
      <w:marLeft w:val="0"/>
      <w:marRight w:val="0"/>
      <w:marTop w:val="0"/>
      <w:marBottom w:val="0"/>
      <w:divBdr>
        <w:top w:val="none" w:sz="0" w:space="0" w:color="auto"/>
        <w:left w:val="none" w:sz="0" w:space="0" w:color="auto"/>
        <w:bottom w:val="none" w:sz="0" w:space="0" w:color="auto"/>
        <w:right w:val="none" w:sz="0" w:space="0" w:color="auto"/>
      </w:divBdr>
    </w:div>
    <w:div w:id="157353145">
      <w:marLeft w:val="0"/>
      <w:marRight w:val="0"/>
      <w:marTop w:val="0"/>
      <w:marBottom w:val="0"/>
      <w:divBdr>
        <w:top w:val="none" w:sz="0" w:space="0" w:color="auto"/>
        <w:left w:val="none" w:sz="0" w:space="0" w:color="auto"/>
        <w:bottom w:val="none" w:sz="0" w:space="0" w:color="auto"/>
        <w:right w:val="none" w:sz="0" w:space="0" w:color="auto"/>
      </w:divBdr>
    </w:div>
    <w:div w:id="157353147">
      <w:marLeft w:val="0"/>
      <w:marRight w:val="0"/>
      <w:marTop w:val="0"/>
      <w:marBottom w:val="0"/>
      <w:divBdr>
        <w:top w:val="none" w:sz="0" w:space="0" w:color="auto"/>
        <w:left w:val="none" w:sz="0" w:space="0" w:color="auto"/>
        <w:bottom w:val="none" w:sz="0" w:space="0" w:color="auto"/>
        <w:right w:val="none" w:sz="0" w:space="0" w:color="auto"/>
      </w:divBdr>
      <w:divsChild>
        <w:div w:id="157353230">
          <w:marLeft w:val="0"/>
          <w:marRight w:val="0"/>
          <w:marTop w:val="0"/>
          <w:marBottom w:val="0"/>
          <w:divBdr>
            <w:top w:val="none" w:sz="0" w:space="0" w:color="auto"/>
            <w:left w:val="none" w:sz="0" w:space="0" w:color="auto"/>
            <w:bottom w:val="none" w:sz="0" w:space="0" w:color="auto"/>
            <w:right w:val="none" w:sz="0" w:space="0" w:color="auto"/>
          </w:divBdr>
          <w:divsChild>
            <w:div w:id="157353103">
              <w:marLeft w:val="0"/>
              <w:marRight w:val="0"/>
              <w:marTop w:val="0"/>
              <w:marBottom w:val="0"/>
              <w:divBdr>
                <w:top w:val="none" w:sz="0" w:space="0" w:color="auto"/>
                <w:left w:val="none" w:sz="0" w:space="0" w:color="auto"/>
                <w:bottom w:val="none" w:sz="0" w:space="0" w:color="auto"/>
                <w:right w:val="none" w:sz="0" w:space="0" w:color="auto"/>
              </w:divBdr>
              <w:divsChild>
                <w:div w:id="1573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3150">
      <w:marLeft w:val="0"/>
      <w:marRight w:val="0"/>
      <w:marTop w:val="0"/>
      <w:marBottom w:val="0"/>
      <w:divBdr>
        <w:top w:val="none" w:sz="0" w:space="0" w:color="auto"/>
        <w:left w:val="none" w:sz="0" w:space="0" w:color="auto"/>
        <w:bottom w:val="none" w:sz="0" w:space="0" w:color="auto"/>
        <w:right w:val="none" w:sz="0" w:space="0" w:color="auto"/>
      </w:divBdr>
    </w:div>
    <w:div w:id="157353151">
      <w:marLeft w:val="0"/>
      <w:marRight w:val="0"/>
      <w:marTop w:val="0"/>
      <w:marBottom w:val="0"/>
      <w:divBdr>
        <w:top w:val="none" w:sz="0" w:space="0" w:color="auto"/>
        <w:left w:val="none" w:sz="0" w:space="0" w:color="auto"/>
        <w:bottom w:val="none" w:sz="0" w:space="0" w:color="auto"/>
        <w:right w:val="none" w:sz="0" w:space="0" w:color="auto"/>
      </w:divBdr>
    </w:div>
    <w:div w:id="157353152">
      <w:marLeft w:val="0"/>
      <w:marRight w:val="0"/>
      <w:marTop w:val="0"/>
      <w:marBottom w:val="0"/>
      <w:divBdr>
        <w:top w:val="none" w:sz="0" w:space="0" w:color="auto"/>
        <w:left w:val="none" w:sz="0" w:space="0" w:color="auto"/>
        <w:bottom w:val="none" w:sz="0" w:space="0" w:color="auto"/>
        <w:right w:val="none" w:sz="0" w:space="0" w:color="auto"/>
      </w:divBdr>
    </w:div>
    <w:div w:id="157353159">
      <w:marLeft w:val="0"/>
      <w:marRight w:val="0"/>
      <w:marTop w:val="0"/>
      <w:marBottom w:val="0"/>
      <w:divBdr>
        <w:top w:val="none" w:sz="0" w:space="0" w:color="auto"/>
        <w:left w:val="none" w:sz="0" w:space="0" w:color="auto"/>
        <w:bottom w:val="none" w:sz="0" w:space="0" w:color="auto"/>
        <w:right w:val="none" w:sz="0" w:space="0" w:color="auto"/>
      </w:divBdr>
      <w:divsChild>
        <w:div w:id="157352525">
          <w:marLeft w:val="0"/>
          <w:marRight w:val="0"/>
          <w:marTop w:val="0"/>
          <w:marBottom w:val="0"/>
          <w:divBdr>
            <w:top w:val="none" w:sz="0" w:space="0" w:color="auto"/>
            <w:left w:val="none" w:sz="0" w:space="0" w:color="auto"/>
            <w:bottom w:val="none" w:sz="0" w:space="0" w:color="auto"/>
            <w:right w:val="none" w:sz="0" w:space="0" w:color="auto"/>
          </w:divBdr>
          <w:divsChild>
            <w:div w:id="157352643">
              <w:marLeft w:val="0"/>
              <w:marRight w:val="0"/>
              <w:marTop w:val="0"/>
              <w:marBottom w:val="0"/>
              <w:divBdr>
                <w:top w:val="none" w:sz="0" w:space="0" w:color="auto"/>
                <w:left w:val="none" w:sz="0" w:space="0" w:color="auto"/>
                <w:bottom w:val="none" w:sz="0" w:space="0" w:color="auto"/>
                <w:right w:val="none" w:sz="0" w:space="0" w:color="auto"/>
              </w:divBdr>
            </w:div>
          </w:divsChild>
        </w:div>
        <w:div w:id="157352637">
          <w:marLeft w:val="0"/>
          <w:marRight w:val="0"/>
          <w:marTop w:val="0"/>
          <w:marBottom w:val="0"/>
          <w:divBdr>
            <w:top w:val="none" w:sz="0" w:space="0" w:color="auto"/>
            <w:left w:val="none" w:sz="0" w:space="0" w:color="auto"/>
            <w:bottom w:val="none" w:sz="0" w:space="0" w:color="auto"/>
            <w:right w:val="none" w:sz="0" w:space="0" w:color="auto"/>
          </w:divBdr>
          <w:divsChild>
            <w:div w:id="157353318">
              <w:marLeft w:val="0"/>
              <w:marRight w:val="0"/>
              <w:marTop w:val="0"/>
              <w:marBottom w:val="0"/>
              <w:divBdr>
                <w:top w:val="none" w:sz="0" w:space="0" w:color="auto"/>
                <w:left w:val="none" w:sz="0" w:space="0" w:color="auto"/>
                <w:bottom w:val="none" w:sz="0" w:space="0" w:color="auto"/>
                <w:right w:val="none" w:sz="0" w:space="0" w:color="auto"/>
              </w:divBdr>
            </w:div>
          </w:divsChild>
        </w:div>
        <w:div w:id="157353033">
          <w:marLeft w:val="0"/>
          <w:marRight w:val="0"/>
          <w:marTop w:val="0"/>
          <w:marBottom w:val="0"/>
          <w:divBdr>
            <w:top w:val="none" w:sz="0" w:space="0" w:color="auto"/>
            <w:left w:val="none" w:sz="0" w:space="0" w:color="auto"/>
            <w:bottom w:val="none" w:sz="0" w:space="0" w:color="auto"/>
            <w:right w:val="none" w:sz="0" w:space="0" w:color="auto"/>
          </w:divBdr>
          <w:divsChild>
            <w:div w:id="157353362">
              <w:marLeft w:val="0"/>
              <w:marRight w:val="0"/>
              <w:marTop w:val="0"/>
              <w:marBottom w:val="0"/>
              <w:divBdr>
                <w:top w:val="none" w:sz="0" w:space="0" w:color="auto"/>
                <w:left w:val="none" w:sz="0" w:space="0" w:color="auto"/>
                <w:bottom w:val="none" w:sz="0" w:space="0" w:color="auto"/>
                <w:right w:val="none" w:sz="0" w:space="0" w:color="auto"/>
              </w:divBdr>
            </w:div>
          </w:divsChild>
        </w:div>
        <w:div w:id="157353184">
          <w:marLeft w:val="0"/>
          <w:marRight w:val="0"/>
          <w:marTop w:val="0"/>
          <w:marBottom w:val="0"/>
          <w:divBdr>
            <w:top w:val="none" w:sz="0" w:space="0" w:color="auto"/>
            <w:left w:val="none" w:sz="0" w:space="0" w:color="auto"/>
            <w:bottom w:val="none" w:sz="0" w:space="0" w:color="auto"/>
            <w:right w:val="none" w:sz="0" w:space="0" w:color="auto"/>
          </w:divBdr>
          <w:divsChild>
            <w:div w:id="157353320">
              <w:marLeft w:val="0"/>
              <w:marRight w:val="0"/>
              <w:marTop w:val="0"/>
              <w:marBottom w:val="0"/>
              <w:divBdr>
                <w:top w:val="none" w:sz="0" w:space="0" w:color="auto"/>
                <w:left w:val="none" w:sz="0" w:space="0" w:color="auto"/>
                <w:bottom w:val="none" w:sz="0" w:space="0" w:color="auto"/>
                <w:right w:val="none" w:sz="0" w:space="0" w:color="auto"/>
              </w:divBdr>
              <w:divsChild>
                <w:div w:id="1573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3311">
          <w:marLeft w:val="0"/>
          <w:marRight w:val="0"/>
          <w:marTop w:val="0"/>
          <w:marBottom w:val="0"/>
          <w:divBdr>
            <w:top w:val="none" w:sz="0" w:space="0" w:color="auto"/>
            <w:left w:val="none" w:sz="0" w:space="0" w:color="auto"/>
            <w:bottom w:val="none" w:sz="0" w:space="0" w:color="auto"/>
            <w:right w:val="none" w:sz="0" w:space="0" w:color="auto"/>
          </w:divBdr>
          <w:divsChild>
            <w:div w:id="1573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3162">
      <w:marLeft w:val="0"/>
      <w:marRight w:val="0"/>
      <w:marTop w:val="0"/>
      <w:marBottom w:val="0"/>
      <w:divBdr>
        <w:top w:val="none" w:sz="0" w:space="0" w:color="auto"/>
        <w:left w:val="none" w:sz="0" w:space="0" w:color="auto"/>
        <w:bottom w:val="none" w:sz="0" w:space="0" w:color="auto"/>
        <w:right w:val="none" w:sz="0" w:space="0" w:color="auto"/>
      </w:divBdr>
      <w:divsChild>
        <w:div w:id="157352762">
          <w:marLeft w:val="0"/>
          <w:marRight w:val="0"/>
          <w:marTop w:val="0"/>
          <w:marBottom w:val="0"/>
          <w:divBdr>
            <w:top w:val="none" w:sz="0" w:space="0" w:color="auto"/>
            <w:left w:val="none" w:sz="0" w:space="0" w:color="auto"/>
            <w:bottom w:val="none" w:sz="0" w:space="0" w:color="auto"/>
            <w:right w:val="none" w:sz="0" w:space="0" w:color="auto"/>
          </w:divBdr>
          <w:divsChild>
            <w:div w:id="157353272">
              <w:marLeft w:val="0"/>
              <w:marRight w:val="0"/>
              <w:marTop w:val="0"/>
              <w:marBottom w:val="0"/>
              <w:divBdr>
                <w:top w:val="none" w:sz="0" w:space="0" w:color="auto"/>
                <w:left w:val="none" w:sz="0" w:space="0" w:color="auto"/>
                <w:bottom w:val="none" w:sz="0" w:space="0" w:color="auto"/>
                <w:right w:val="none" w:sz="0" w:space="0" w:color="auto"/>
              </w:divBdr>
              <w:divsChild>
                <w:div w:id="157352610">
                  <w:marLeft w:val="0"/>
                  <w:marRight w:val="0"/>
                  <w:marTop w:val="0"/>
                  <w:marBottom w:val="0"/>
                  <w:divBdr>
                    <w:top w:val="none" w:sz="0" w:space="0" w:color="auto"/>
                    <w:left w:val="none" w:sz="0" w:space="0" w:color="auto"/>
                    <w:bottom w:val="none" w:sz="0" w:space="0" w:color="auto"/>
                    <w:right w:val="none" w:sz="0" w:space="0" w:color="auto"/>
                  </w:divBdr>
                  <w:divsChild>
                    <w:div w:id="157353025">
                      <w:marLeft w:val="0"/>
                      <w:marRight w:val="0"/>
                      <w:marTop w:val="0"/>
                      <w:marBottom w:val="0"/>
                      <w:divBdr>
                        <w:top w:val="none" w:sz="0" w:space="0" w:color="auto"/>
                        <w:left w:val="none" w:sz="0" w:space="0" w:color="auto"/>
                        <w:bottom w:val="none" w:sz="0" w:space="0" w:color="auto"/>
                        <w:right w:val="none" w:sz="0" w:space="0" w:color="auto"/>
                      </w:divBdr>
                      <w:divsChild>
                        <w:div w:id="157353037">
                          <w:marLeft w:val="0"/>
                          <w:marRight w:val="0"/>
                          <w:marTop w:val="0"/>
                          <w:marBottom w:val="0"/>
                          <w:divBdr>
                            <w:top w:val="none" w:sz="0" w:space="0" w:color="auto"/>
                            <w:left w:val="none" w:sz="0" w:space="0" w:color="auto"/>
                            <w:bottom w:val="none" w:sz="0" w:space="0" w:color="auto"/>
                            <w:right w:val="none" w:sz="0" w:space="0" w:color="auto"/>
                          </w:divBdr>
                          <w:divsChild>
                            <w:div w:id="157353244">
                              <w:marLeft w:val="0"/>
                              <w:marRight w:val="0"/>
                              <w:marTop w:val="0"/>
                              <w:marBottom w:val="0"/>
                              <w:divBdr>
                                <w:top w:val="none" w:sz="0" w:space="0" w:color="auto"/>
                                <w:left w:val="none" w:sz="0" w:space="0" w:color="auto"/>
                                <w:bottom w:val="none" w:sz="0" w:space="0" w:color="auto"/>
                                <w:right w:val="none" w:sz="0" w:space="0" w:color="auto"/>
                              </w:divBdr>
                              <w:divsChild>
                                <w:div w:id="157353011">
                                  <w:marLeft w:val="0"/>
                                  <w:marRight w:val="0"/>
                                  <w:marTop w:val="0"/>
                                  <w:marBottom w:val="390"/>
                                  <w:divBdr>
                                    <w:top w:val="none" w:sz="0" w:space="0" w:color="auto"/>
                                    <w:left w:val="none" w:sz="0" w:space="0" w:color="auto"/>
                                    <w:bottom w:val="none" w:sz="0" w:space="0" w:color="auto"/>
                                    <w:right w:val="none" w:sz="0" w:space="0" w:color="auto"/>
                                  </w:divBdr>
                                  <w:divsChild>
                                    <w:div w:id="157352628">
                                      <w:marLeft w:val="0"/>
                                      <w:marRight w:val="0"/>
                                      <w:marTop w:val="0"/>
                                      <w:marBottom w:val="0"/>
                                      <w:divBdr>
                                        <w:top w:val="none" w:sz="0" w:space="0" w:color="auto"/>
                                        <w:left w:val="none" w:sz="0" w:space="0" w:color="auto"/>
                                        <w:bottom w:val="none" w:sz="0" w:space="0" w:color="auto"/>
                                        <w:right w:val="none" w:sz="0" w:space="0" w:color="auto"/>
                                      </w:divBdr>
                                      <w:divsChild>
                                        <w:div w:id="157352825">
                                          <w:marLeft w:val="0"/>
                                          <w:marRight w:val="0"/>
                                          <w:marTop w:val="240"/>
                                          <w:marBottom w:val="240"/>
                                          <w:divBdr>
                                            <w:top w:val="none" w:sz="0" w:space="0" w:color="auto"/>
                                            <w:left w:val="none" w:sz="0" w:space="0" w:color="auto"/>
                                            <w:bottom w:val="none" w:sz="0" w:space="0" w:color="auto"/>
                                            <w:right w:val="none" w:sz="0" w:space="0" w:color="auto"/>
                                          </w:divBdr>
                                        </w:div>
                                        <w:div w:id="157352908">
                                          <w:marLeft w:val="0"/>
                                          <w:marRight w:val="0"/>
                                          <w:marTop w:val="240"/>
                                          <w:marBottom w:val="240"/>
                                          <w:divBdr>
                                            <w:top w:val="none" w:sz="0" w:space="0" w:color="auto"/>
                                            <w:left w:val="none" w:sz="0" w:space="0" w:color="auto"/>
                                            <w:bottom w:val="none" w:sz="0" w:space="0" w:color="auto"/>
                                            <w:right w:val="none" w:sz="0" w:space="0" w:color="auto"/>
                                          </w:divBdr>
                                        </w:div>
                                        <w:div w:id="157352919">
                                          <w:marLeft w:val="0"/>
                                          <w:marRight w:val="0"/>
                                          <w:marTop w:val="240"/>
                                          <w:marBottom w:val="240"/>
                                          <w:divBdr>
                                            <w:top w:val="none" w:sz="0" w:space="0" w:color="auto"/>
                                            <w:left w:val="none" w:sz="0" w:space="0" w:color="auto"/>
                                            <w:bottom w:val="none" w:sz="0" w:space="0" w:color="auto"/>
                                            <w:right w:val="none" w:sz="0" w:space="0" w:color="auto"/>
                                          </w:divBdr>
                                        </w:div>
                                        <w:div w:id="1573529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53163">
      <w:marLeft w:val="0"/>
      <w:marRight w:val="0"/>
      <w:marTop w:val="0"/>
      <w:marBottom w:val="0"/>
      <w:divBdr>
        <w:top w:val="none" w:sz="0" w:space="0" w:color="auto"/>
        <w:left w:val="none" w:sz="0" w:space="0" w:color="auto"/>
        <w:bottom w:val="none" w:sz="0" w:space="0" w:color="auto"/>
        <w:right w:val="none" w:sz="0" w:space="0" w:color="auto"/>
      </w:divBdr>
    </w:div>
    <w:div w:id="157353166">
      <w:marLeft w:val="0"/>
      <w:marRight w:val="0"/>
      <w:marTop w:val="0"/>
      <w:marBottom w:val="0"/>
      <w:divBdr>
        <w:top w:val="none" w:sz="0" w:space="0" w:color="auto"/>
        <w:left w:val="none" w:sz="0" w:space="0" w:color="auto"/>
        <w:bottom w:val="none" w:sz="0" w:space="0" w:color="auto"/>
        <w:right w:val="none" w:sz="0" w:space="0" w:color="auto"/>
      </w:divBdr>
      <w:divsChild>
        <w:div w:id="157353065">
          <w:marLeft w:val="0"/>
          <w:marRight w:val="0"/>
          <w:marTop w:val="0"/>
          <w:marBottom w:val="0"/>
          <w:divBdr>
            <w:top w:val="none" w:sz="0" w:space="0" w:color="auto"/>
            <w:left w:val="none" w:sz="0" w:space="0" w:color="auto"/>
            <w:bottom w:val="none" w:sz="0" w:space="0" w:color="auto"/>
            <w:right w:val="none" w:sz="0" w:space="0" w:color="auto"/>
          </w:divBdr>
          <w:divsChild>
            <w:div w:id="157352987">
              <w:marLeft w:val="0"/>
              <w:marRight w:val="0"/>
              <w:marTop w:val="0"/>
              <w:marBottom w:val="0"/>
              <w:divBdr>
                <w:top w:val="none" w:sz="0" w:space="0" w:color="auto"/>
                <w:left w:val="none" w:sz="0" w:space="0" w:color="auto"/>
                <w:bottom w:val="none" w:sz="0" w:space="0" w:color="auto"/>
                <w:right w:val="none" w:sz="0" w:space="0" w:color="auto"/>
              </w:divBdr>
              <w:divsChild>
                <w:div w:id="157353079">
                  <w:marLeft w:val="0"/>
                  <w:marRight w:val="0"/>
                  <w:marTop w:val="0"/>
                  <w:marBottom w:val="0"/>
                  <w:divBdr>
                    <w:top w:val="none" w:sz="0" w:space="0" w:color="auto"/>
                    <w:left w:val="none" w:sz="0" w:space="0" w:color="auto"/>
                    <w:bottom w:val="none" w:sz="0" w:space="0" w:color="auto"/>
                    <w:right w:val="none" w:sz="0" w:space="0" w:color="auto"/>
                  </w:divBdr>
                  <w:divsChild>
                    <w:div w:id="157352802">
                      <w:marLeft w:val="0"/>
                      <w:marRight w:val="0"/>
                      <w:marTop w:val="0"/>
                      <w:marBottom w:val="0"/>
                      <w:divBdr>
                        <w:top w:val="none" w:sz="0" w:space="0" w:color="auto"/>
                        <w:left w:val="none" w:sz="0" w:space="0" w:color="auto"/>
                        <w:bottom w:val="none" w:sz="0" w:space="0" w:color="auto"/>
                        <w:right w:val="none" w:sz="0" w:space="0" w:color="auto"/>
                      </w:divBdr>
                      <w:divsChild>
                        <w:div w:id="157352691">
                          <w:marLeft w:val="0"/>
                          <w:marRight w:val="0"/>
                          <w:marTop w:val="0"/>
                          <w:marBottom w:val="0"/>
                          <w:divBdr>
                            <w:top w:val="none" w:sz="0" w:space="0" w:color="auto"/>
                            <w:left w:val="none" w:sz="0" w:space="0" w:color="auto"/>
                            <w:bottom w:val="none" w:sz="0" w:space="0" w:color="auto"/>
                            <w:right w:val="none" w:sz="0" w:space="0" w:color="auto"/>
                          </w:divBdr>
                          <w:divsChild>
                            <w:div w:id="157353316">
                              <w:marLeft w:val="0"/>
                              <w:marRight w:val="0"/>
                              <w:marTop w:val="0"/>
                              <w:marBottom w:val="0"/>
                              <w:divBdr>
                                <w:top w:val="none" w:sz="0" w:space="0" w:color="auto"/>
                                <w:left w:val="none" w:sz="0" w:space="0" w:color="auto"/>
                                <w:bottom w:val="none" w:sz="0" w:space="0" w:color="auto"/>
                                <w:right w:val="none" w:sz="0" w:space="0" w:color="auto"/>
                              </w:divBdr>
                              <w:divsChild>
                                <w:div w:id="157352722">
                                  <w:marLeft w:val="0"/>
                                  <w:marRight w:val="0"/>
                                  <w:marTop w:val="0"/>
                                  <w:marBottom w:val="390"/>
                                  <w:divBdr>
                                    <w:top w:val="none" w:sz="0" w:space="0" w:color="auto"/>
                                    <w:left w:val="none" w:sz="0" w:space="0" w:color="auto"/>
                                    <w:bottom w:val="none" w:sz="0" w:space="0" w:color="auto"/>
                                    <w:right w:val="none" w:sz="0" w:space="0" w:color="auto"/>
                                  </w:divBdr>
                                  <w:divsChild>
                                    <w:div w:id="157353245">
                                      <w:marLeft w:val="0"/>
                                      <w:marRight w:val="0"/>
                                      <w:marTop w:val="0"/>
                                      <w:marBottom w:val="0"/>
                                      <w:divBdr>
                                        <w:top w:val="none" w:sz="0" w:space="0" w:color="auto"/>
                                        <w:left w:val="none" w:sz="0" w:space="0" w:color="auto"/>
                                        <w:bottom w:val="none" w:sz="0" w:space="0" w:color="auto"/>
                                        <w:right w:val="none" w:sz="0" w:space="0" w:color="auto"/>
                                      </w:divBdr>
                                      <w:divsChild>
                                        <w:div w:id="1573528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53167">
      <w:marLeft w:val="0"/>
      <w:marRight w:val="0"/>
      <w:marTop w:val="0"/>
      <w:marBottom w:val="0"/>
      <w:divBdr>
        <w:top w:val="none" w:sz="0" w:space="0" w:color="auto"/>
        <w:left w:val="none" w:sz="0" w:space="0" w:color="auto"/>
        <w:bottom w:val="none" w:sz="0" w:space="0" w:color="auto"/>
        <w:right w:val="none" w:sz="0" w:space="0" w:color="auto"/>
      </w:divBdr>
    </w:div>
    <w:div w:id="157353170">
      <w:marLeft w:val="0"/>
      <w:marRight w:val="0"/>
      <w:marTop w:val="0"/>
      <w:marBottom w:val="0"/>
      <w:divBdr>
        <w:top w:val="none" w:sz="0" w:space="0" w:color="auto"/>
        <w:left w:val="none" w:sz="0" w:space="0" w:color="auto"/>
        <w:bottom w:val="none" w:sz="0" w:space="0" w:color="auto"/>
        <w:right w:val="none" w:sz="0" w:space="0" w:color="auto"/>
      </w:divBdr>
    </w:div>
    <w:div w:id="157353173">
      <w:marLeft w:val="0"/>
      <w:marRight w:val="0"/>
      <w:marTop w:val="0"/>
      <w:marBottom w:val="0"/>
      <w:divBdr>
        <w:top w:val="none" w:sz="0" w:space="0" w:color="auto"/>
        <w:left w:val="none" w:sz="0" w:space="0" w:color="auto"/>
        <w:bottom w:val="none" w:sz="0" w:space="0" w:color="auto"/>
        <w:right w:val="none" w:sz="0" w:space="0" w:color="auto"/>
      </w:divBdr>
    </w:div>
    <w:div w:id="157353175">
      <w:marLeft w:val="0"/>
      <w:marRight w:val="0"/>
      <w:marTop w:val="0"/>
      <w:marBottom w:val="0"/>
      <w:divBdr>
        <w:top w:val="none" w:sz="0" w:space="0" w:color="auto"/>
        <w:left w:val="none" w:sz="0" w:space="0" w:color="auto"/>
        <w:bottom w:val="none" w:sz="0" w:space="0" w:color="auto"/>
        <w:right w:val="none" w:sz="0" w:space="0" w:color="auto"/>
      </w:divBdr>
      <w:divsChild>
        <w:div w:id="157352766">
          <w:marLeft w:val="0"/>
          <w:marRight w:val="0"/>
          <w:marTop w:val="0"/>
          <w:marBottom w:val="0"/>
          <w:divBdr>
            <w:top w:val="none" w:sz="0" w:space="0" w:color="auto"/>
            <w:left w:val="none" w:sz="0" w:space="0" w:color="auto"/>
            <w:bottom w:val="none" w:sz="0" w:space="0" w:color="auto"/>
            <w:right w:val="none" w:sz="0" w:space="0" w:color="auto"/>
          </w:divBdr>
          <w:divsChild>
            <w:div w:id="157353082">
              <w:marLeft w:val="0"/>
              <w:marRight w:val="0"/>
              <w:marTop w:val="0"/>
              <w:marBottom w:val="0"/>
              <w:divBdr>
                <w:top w:val="none" w:sz="0" w:space="0" w:color="auto"/>
                <w:left w:val="none" w:sz="0" w:space="0" w:color="auto"/>
                <w:bottom w:val="none" w:sz="0" w:space="0" w:color="auto"/>
                <w:right w:val="none" w:sz="0" w:space="0" w:color="auto"/>
              </w:divBdr>
              <w:divsChild>
                <w:div w:id="157352841">
                  <w:marLeft w:val="0"/>
                  <w:marRight w:val="0"/>
                  <w:marTop w:val="0"/>
                  <w:marBottom w:val="0"/>
                  <w:divBdr>
                    <w:top w:val="none" w:sz="0" w:space="0" w:color="auto"/>
                    <w:left w:val="none" w:sz="0" w:space="0" w:color="auto"/>
                    <w:bottom w:val="none" w:sz="0" w:space="0" w:color="auto"/>
                    <w:right w:val="none" w:sz="0" w:space="0" w:color="auto"/>
                  </w:divBdr>
                  <w:divsChild>
                    <w:div w:id="157352959">
                      <w:marLeft w:val="0"/>
                      <w:marRight w:val="0"/>
                      <w:marTop w:val="0"/>
                      <w:marBottom w:val="0"/>
                      <w:divBdr>
                        <w:top w:val="none" w:sz="0" w:space="0" w:color="auto"/>
                        <w:left w:val="none" w:sz="0" w:space="0" w:color="auto"/>
                        <w:bottom w:val="none" w:sz="0" w:space="0" w:color="auto"/>
                        <w:right w:val="none" w:sz="0" w:space="0" w:color="auto"/>
                      </w:divBdr>
                      <w:divsChild>
                        <w:div w:id="157352828">
                          <w:marLeft w:val="0"/>
                          <w:marRight w:val="0"/>
                          <w:marTop w:val="0"/>
                          <w:marBottom w:val="0"/>
                          <w:divBdr>
                            <w:top w:val="none" w:sz="0" w:space="0" w:color="auto"/>
                            <w:left w:val="none" w:sz="0" w:space="0" w:color="auto"/>
                            <w:bottom w:val="none" w:sz="0" w:space="0" w:color="auto"/>
                            <w:right w:val="none" w:sz="0" w:space="0" w:color="auto"/>
                          </w:divBdr>
                          <w:divsChild>
                            <w:div w:id="157353327">
                              <w:marLeft w:val="0"/>
                              <w:marRight w:val="0"/>
                              <w:marTop w:val="0"/>
                              <w:marBottom w:val="0"/>
                              <w:divBdr>
                                <w:top w:val="none" w:sz="0" w:space="0" w:color="auto"/>
                                <w:left w:val="none" w:sz="0" w:space="0" w:color="auto"/>
                                <w:bottom w:val="none" w:sz="0" w:space="0" w:color="auto"/>
                                <w:right w:val="none" w:sz="0" w:space="0" w:color="auto"/>
                              </w:divBdr>
                              <w:divsChild>
                                <w:div w:id="1573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53179">
      <w:marLeft w:val="0"/>
      <w:marRight w:val="0"/>
      <w:marTop w:val="0"/>
      <w:marBottom w:val="0"/>
      <w:divBdr>
        <w:top w:val="none" w:sz="0" w:space="0" w:color="auto"/>
        <w:left w:val="none" w:sz="0" w:space="0" w:color="auto"/>
        <w:bottom w:val="none" w:sz="0" w:space="0" w:color="auto"/>
        <w:right w:val="none" w:sz="0" w:space="0" w:color="auto"/>
      </w:divBdr>
    </w:div>
    <w:div w:id="157353181">
      <w:marLeft w:val="0"/>
      <w:marRight w:val="0"/>
      <w:marTop w:val="0"/>
      <w:marBottom w:val="0"/>
      <w:divBdr>
        <w:top w:val="none" w:sz="0" w:space="0" w:color="auto"/>
        <w:left w:val="none" w:sz="0" w:space="0" w:color="auto"/>
        <w:bottom w:val="none" w:sz="0" w:space="0" w:color="auto"/>
        <w:right w:val="none" w:sz="0" w:space="0" w:color="auto"/>
      </w:divBdr>
    </w:div>
    <w:div w:id="157353186">
      <w:marLeft w:val="0"/>
      <w:marRight w:val="0"/>
      <w:marTop w:val="0"/>
      <w:marBottom w:val="0"/>
      <w:divBdr>
        <w:top w:val="none" w:sz="0" w:space="0" w:color="auto"/>
        <w:left w:val="none" w:sz="0" w:space="0" w:color="auto"/>
        <w:bottom w:val="none" w:sz="0" w:space="0" w:color="auto"/>
        <w:right w:val="none" w:sz="0" w:space="0" w:color="auto"/>
      </w:divBdr>
      <w:divsChild>
        <w:div w:id="157352951">
          <w:marLeft w:val="0"/>
          <w:marRight w:val="0"/>
          <w:marTop w:val="0"/>
          <w:marBottom w:val="0"/>
          <w:divBdr>
            <w:top w:val="none" w:sz="0" w:space="0" w:color="auto"/>
            <w:left w:val="none" w:sz="0" w:space="0" w:color="auto"/>
            <w:bottom w:val="none" w:sz="0" w:space="0" w:color="auto"/>
            <w:right w:val="none" w:sz="0" w:space="0" w:color="auto"/>
          </w:divBdr>
          <w:divsChild>
            <w:div w:id="157352745">
              <w:marLeft w:val="0"/>
              <w:marRight w:val="0"/>
              <w:marTop w:val="0"/>
              <w:marBottom w:val="0"/>
              <w:divBdr>
                <w:top w:val="none" w:sz="0" w:space="0" w:color="auto"/>
                <w:left w:val="none" w:sz="0" w:space="0" w:color="auto"/>
                <w:bottom w:val="none" w:sz="0" w:space="0" w:color="auto"/>
                <w:right w:val="none" w:sz="0" w:space="0" w:color="auto"/>
              </w:divBdr>
              <w:divsChild>
                <w:div w:id="157352510">
                  <w:marLeft w:val="0"/>
                  <w:marRight w:val="0"/>
                  <w:marTop w:val="0"/>
                  <w:marBottom w:val="0"/>
                  <w:divBdr>
                    <w:top w:val="none" w:sz="0" w:space="0" w:color="auto"/>
                    <w:left w:val="none" w:sz="0" w:space="0" w:color="auto"/>
                    <w:bottom w:val="none" w:sz="0" w:space="0" w:color="auto"/>
                    <w:right w:val="none" w:sz="0" w:space="0" w:color="auto"/>
                  </w:divBdr>
                  <w:divsChild>
                    <w:div w:id="157352600">
                      <w:marLeft w:val="0"/>
                      <w:marRight w:val="0"/>
                      <w:marTop w:val="0"/>
                      <w:marBottom w:val="0"/>
                      <w:divBdr>
                        <w:top w:val="none" w:sz="0" w:space="0" w:color="auto"/>
                        <w:left w:val="none" w:sz="0" w:space="0" w:color="auto"/>
                        <w:bottom w:val="none" w:sz="0" w:space="0" w:color="auto"/>
                        <w:right w:val="none" w:sz="0" w:space="0" w:color="auto"/>
                      </w:divBdr>
                      <w:divsChild>
                        <w:div w:id="157353297">
                          <w:marLeft w:val="0"/>
                          <w:marRight w:val="0"/>
                          <w:marTop w:val="0"/>
                          <w:marBottom w:val="0"/>
                          <w:divBdr>
                            <w:top w:val="none" w:sz="0" w:space="0" w:color="auto"/>
                            <w:left w:val="none" w:sz="0" w:space="0" w:color="auto"/>
                            <w:bottom w:val="none" w:sz="0" w:space="0" w:color="auto"/>
                            <w:right w:val="none" w:sz="0" w:space="0" w:color="auto"/>
                          </w:divBdr>
                          <w:divsChild>
                            <w:div w:id="157352748">
                              <w:marLeft w:val="0"/>
                              <w:marRight w:val="0"/>
                              <w:marTop w:val="0"/>
                              <w:marBottom w:val="0"/>
                              <w:divBdr>
                                <w:top w:val="none" w:sz="0" w:space="0" w:color="auto"/>
                                <w:left w:val="none" w:sz="0" w:space="0" w:color="auto"/>
                                <w:bottom w:val="none" w:sz="0" w:space="0" w:color="auto"/>
                                <w:right w:val="none" w:sz="0" w:space="0" w:color="auto"/>
                              </w:divBdr>
                              <w:divsChild>
                                <w:div w:id="1573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53187">
      <w:marLeft w:val="0"/>
      <w:marRight w:val="0"/>
      <w:marTop w:val="0"/>
      <w:marBottom w:val="0"/>
      <w:divBdr>
        <w:top w:val="none" w:sz="0" w:space="0" w:color="auto"/>
        <w:left w:val="none" w:sz="0" w:space="0" w:color="auto"/>
        <w:bottom w:val="none" w:sz="0" w:space="0" w:color="auto"/>
        <w:right w:val="none" w:sz="0" w:space="0" w:color="auto"/>
      </w:divBdr>
      <w:divsChild>
        <w:div w:id="157352806">
          <w:marLeft w:val="0"/>
          <w:marRight w:val="0"/>
          <w:marTop w:val="0"/>
          <w:marBottom w:val="150"/>
          <w:divBdr>
            <w:top w:val="single" w:sz="6" w:space="12" w:color="C9C9C9"/>
            <w:left w:val="single" w:sz="6" w:space="12" w:color="C9C9C9"/>
            <w:bottom w:val="single" w:sz="6" w:space="12" w:color="C9C9C9"/>
            <w:right w:val="single" w:sz="6" w:space="12" w:color="C9C9C9"/>
          </w:divBdr>
          <w:divsChild>
            <w:div w:id="157352818">
              <w:marLeft w:val="0"/>
              <w:marRight w:val="180"/>
              <w:marTop w:val="0"/>
              <w:marBottom w:val="0"/>
              <w:divBdr>
                <w:top w:val="none" w:sz="0" w:space="0" w:color="auto"/>
                <w:left w:val="none" w:sz="0" w:space="0" w:color="auto"/>
                <w:bottom w:val="none" w:sz="0" w:space="0" w:color="auto"/>
                <w:right w:val="none" w:sz="0" w:space="0" w:color="auto"/>
              </w:divBdr>
              <w:divsChild>
                <w:div w:id="157352760">
                  <w:marLeft w:val="0"/>
                  <w:marRight w:val="0"/>
                  <w:marTop w:val="225"/>
                  <w:marBottom w:val="0"/>
                  <w:divBdr>
                    <w:top w:val="none" w:sz="0" w:space="0" w:color="auto"/>
                    <w:left w:val="none" w:sz="0" w:space="0" w:color="auto"/>
                    <w:bottom w:val="single" w:sz="6" w:space="11" w:color="B1B1B1"/>
                    <w:right w:val="none" w:sz="0" w:space="0" w:color="auto"/>
                  </w:divBdr>
                </w:div>
              </w:divsChild>
            </w:div>
          </w:divsChild>
        </w:div>
      </w:divsChild>
    </w:div>
    <w:div w:id="157353193">
      <w:marLeft w:val="0"/>
      <w:marRight w:val="0"/>
      <w:marTop w:val="0"/>
      <w:marBottom w:val="0"/>
      <w:divBdr>
        <w:top w:val="none" w:sz="0" w:space="0" w:color="auto"/>
        <w:left w:val="none" w:sz="0" w:space="0" w:color="auto"/>
        <w:bottom w:val="none" w:sz="0" w:space="0" w:color="auto"/>
        <w:right w:val="none" w:sz="0" w:space="0" w:color="auto"/>
      </w:divBdr>
    </w:div>
    <w:div w:id="157353198">
      <w:marLeft w:val="0"/>
      <w:marRight w:val="0"/>
      <w:marTop w:val="0"/>
      <w:marBottom w:val="0"/>
      <w:divBdr>
        <w:top w:val="none" w:sz="0" w:space="0" w:color="auto"/>
        <w:left w:val="none" w:sz="0" w:space="0" w:color="auto"/>
        <w:bottom w:val="none" w:sz="0" w:space="0" w:color="auto"/>
        <w:right w:val="none" w:sz="0" w:space="0" w:color="auto"/>
      </w:divBdr>
      <w:divsChild>
        <w:div w:id="157352522">
          <w:marLeft w:val="0"/>
          <w:marRight w:val="0"/>
          <w:marTop w:val="0"/>
          <w:marBottom w:val="0"/>
          <w:divBdr>
            <w:top w:val="none" w:sz="0" w:space="0" w:color="auto"/>
            <w:left w:val="none" w:sz="0" w:space="0" w:color="auto"/>
            <w:bottom w:val="none" w:sz="0" w:space="0" w:color="auto"/>
            <w:right w:val="none" w:sz="0" w:space="0" w:color="auto"/>
          </w:divBdr>
          <w:divsChild>
            <w:div w:id="157353136">
              <w:marLeft w:val="0"/>
              <w:marRight w:val="0"/>
              <w:marTop w:val="0"/>
              <w:marBottom w:val="150"/>
              <w:divBdr>
                <w:top w:val="none" w:sz="0" w:space="0" w:color="auto"/>
                <w:left w:val="none" w:sz="0" w:space="0" w:color="auto"/>
                <w:bottom w:val="none" w:sz="0" w:space="0" w:color="auto"/>
                <w:right w:val="none" w:sz="0" w:space="0" w:color="auto"/>
              </w:divBdr>
              <w:divsChild>
                <w:div w:id="1573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3199">
      <w:marLeft w:val="0"/>
      <w:marRight w:val="0"/>
      <w:marTop w:val="0"/>
      <w:marBottom w:val="0"/>
      <w:divBdr>
        <w:top w:val="none" w:sz="0" w:space="0" w:color="auto"/>
        <w:left w:val="none" w:sz="0" w:space="0" w:color="auto"/>
        <w:bottom w:val="none" w:sz="0" w:space="0" w:color="auto"/>
        <w:right w:val="none" w:sz="0" w:space="0" w:color="auto"/>
      </w:divBdr>
      <w:divsChild>
        <w:div w:id="157352706">
          <w:marLeft w:val="0"/>
          <w:marRight w:val="0"/>
          <w:marTop w:val="300"/>
          <w:marBottom w:val="750"/>
          <w:divBdr>
            <w:top w:val="single" w:sz="6" w:space="11" w:color="BBBBBB"/>
            <w:left w:val="single" w:sz="6" w:space="15" w:color="BBBBBB"/>
            <w:bottom w:val="single" w:sz="6" w:space="11" w:color="BBBBBB"/>
            <w:right w:val="single" w:sz="6" w:space="0" w:color="BBBBBB"/>
          </w:divBdr>
          <w:divsChild>
            <w:div w:id="157352744">
              <w:marLeft w:val="0"/>
              <w:marRight w:val="0"/>
              <w:marTop w:val="0"/>
              <w:marBottom w:val="0"/>
              <w:divBdr>
                <w:top w:val="none" w:sz="0" w:space="0" w:color="auto"/>
                <w:left w:val="single" w:sz="6" w:space="6" w:color="BBBBBB"/>
                <w:bottom w:val="single" w:sz="6" w:space="6" w:color="BBBBBB"/>
                <w:right w:val="single" w:sz="18" w:space="0" w:color="FFFFFF"/>
              </w:divBdr>
            </w:div>
          </w:divsChild>
        </w:div>
      </w:divsChild>
    </w:div>
    <w:div w:id="157353203">
      <w:marLeft w:val="0"/>
      <w:marRight w:val="0"/>
      <w:marTop w:val="0"/>
      <w:marBottom w:val="0"/>
      <w:divBdr>
        <w:top w:val="none" w:sz="0" w:space="0" w:color="auto"/>
        <w:left w:val="none" w:sz="0" w:space="0" w:color="auto"/>
        <w:bottom w:val="none" w:sz="0" w:space="0" w:color="auto"/>
        <w:right w:val="none" w:sz="0" w:space="0" w:color="auto"/>
      </w:divBdr>
    </w:div>
    <w:div w:id="157353205">
      <w:marLeft w:val="0"/>
      <w:marRight w:val="0"/>
      <w:marTop w:val="0"/>
      <w:marBottom w:val="0"/>
      <w:divBdr>
        <w:top w:val="none" w:sz="0" w:space="0" w:color="auto"/>
        <w:left w:val="none" w:sz="0" w:space="0" w:color="auto"/>
        <w:bottom w:val="none" w:sz="0" w:space="0" w:color="auto"/>
        <w:right w:val="none" w:sz="0" w:space="0" w:color="auto"/>
      </w:divBdr>
      <w:divsChild>
        <w:div w:id="157352870">
          <w:marLeft w:val="0"/>
          <w:marRight w:val="0"/>
          <w:marTop w:val="300"/>
          <w:marBottom w:val="750"/>
          <w:divBdr>
            <w:top w:val="single" w:sz="6" w:space="11" w:color="BBBBBB"/>
            <w:left w:val="single" w:sz="6" w:space="15" w:color="BBBBBB"/>
            <w:bottom w:val="single" w:sz="6" w:space="11" w:color="BBBBBB"/>
            <w:right w:val="single" w:sz="6" w:space="0" w:color="BBBBBB"/>
          </w:divBdr>
          <w:divsChild>
            <w:div w:id="157353104">
              <w:marLeft w:val="0"/>
              <w:marRight w:val="0"/>
              <w:marTop w:val="0"/>
              <w:marBottom w:val="0"/>
              <w:divBdr>
                <w:top w:val="none" w:sz="0" w:space="0" w:color="auto"/>
                <w:left w:val="single" w:sz="6" w:space="6" w:color="BBBBBB"/>
                <w:bottom w:val="single" w:sz="6" w:space="6" w:color="BBBBBB"/>
                <w:right w:val="single" w:sz="18" w:space="0" w:color="FFFFFF"/>
              </w:divBdr>
            </w:div>
          </w:divsChild>
        </w:div>
      </w:divsChild>
    </w:div>
    <w:div w:id="157353211">
      <w:marLeft w:val="0"/>
      <w:marRight w:val="0"/>
      <w:marTop w:val="0"/>
      <w:marBottom w:val="0"/>
      <w:divBdr>
        <w:top w:val="none" w:sz="0" w:space="0" w:color="auto"/>
        <w:left w:val="none" w:sz="0" w:space="0" w:color="auto"/>
        <w:bottom w:val="none" w:sz="0" w:space="0" w:color="auto"/>
        <w:right w:val="none" w:sz="0" w:space="0" w:color="auto"/>
      </w:divBdr>
    </w:div>
    <w:div w:id="157353215">
      <w:marLeft w:val="0"/>
      <w:marRight w:val="0"/>
      <w:marTop w:val="0"/>
      <w:marBottom w:val="0"/>
      <w:divBdr>
        <w:top w:val="none" w:sz="0" w:space="0" w:color="auto"/>
        <w:left w:val="none" w:sz="0" w:space="0" w:color="auto"/>
        <w:bottom w:val="none" w:sz="0" w:space="0" w:color="auto"/>
        <w:right w:val="none" w:sz="0" w:space="0" w:color="auto"/>
      </w:divBdr>
    </w:div>
    <w:div w:id="157353216">
      <w:marLeft w:val="0"/>
      <w:marRight w:val="0"/>
      <w:marTop w:val="0"/>
      <w:marBottom w:val="0"/>
      <w:divBdr>
        <w:top w:val="none" w:sz="0" w:space="0" w:color="auto"/>
        <w:left w:val="none" w:sz="0" w:space="0" w:color="auto"/>
        <w:bottom w:val="none" w:sz="0" w:space="0" w:color="auto"/>
        <w:right w:val="none" w:sz="0" w:space="0" w:color="auto"/>
      </w:divBdr>
    </w:div>
    <w:div w:id="157353217">
      <w:marLeft w:val="0"/>
      <w:marRight w:val="0"/>
      <w:marTop w:val="0"/>
      <w:marBottom w:val="0"/>
      <w:divBdr>
        <w:top w:val="none" w:sz="0" w:space="0" w:color="auto"/>
        <w:left w:val="none" w:sz="0" w:space="0" w:color="auto"/>
        <w:bottom w:val="none" w:sz="0" w:space="0" w:color="auto"/>
        <w:right w:val="none" w:sz="0" w:space="0" w:color="auto"/>
      </w:divBdr>
    </w:div>
    <w:div w:id="157353225">
      <w:marLeft w:val="0"/>
      <w:marRight w:val="0"/>
      <w:marTop w:val="0"/>
      <w:marBottom w:val="0"/>
      <w:divBdr>
        <w:top w:val="none" w:sz="0" w:space="0" w:color="auto"/>
        <w:left w:val="none" w:sz="0" w:space="0" w:color="auto"/>
        <w:bottom w:val="none" w:sz="0" w:space="0" w:color="auto"/>
        <w:right w:val="none" w:sz="0" w:space="0" w:color="auto"/>
      </w:divBdr>
      <w:divsChild>
        <w:div w:id="157353121">
          <w:marLeft w:val="0"/>
          <w:marRight w:val="0"/>
          <w:marTop w:val="0"/>
          <w:marBottom w:val="150"/>
          <w:divBdr>
            <w:top w:val="single" w:sz="6" w:space="12" w:color="C9C9C9"/>
            <w:left w:val="single" w:sz="6" w:space="12" w:color="C9C9C9"/>
            <w:bottom w:val="single" w:sz="6" w:space="12" w:color="C9C9C9"/>
            <w:right w:val="single" w:sz="6" w:space="12" w:color="C9C9C9"/>
          </w:divBdr>
          <w:divsChild>
            <w:div w:id="157353174">
              <w:marLeft w:val="0"/>
              <w:marRight w:val="180"/>
              <w:marTop w:val="0"/>
              <w:marBottom w:val="0"/>
              <w:divBdr>
                <w:top w:val="none" w:sz="0" w:space="0" w:color="auto"/>
                <w:left w:val="none" w:sz="0" w:space="0" w:color="auto"/>
                <w:bottom w:val="none" w:sz="0" w:space="0" w:color="auto"/>
                <w:right w:val="none" w:sz="0" w:space="0" w:color="auto"/>
              </w:divBdr>
              <w:divsChild>
                <w:div w:id="157352667">
                  <w:marLeft w:val="0"/>
                  <w:marRight w:val="0"/>
                  <w:marTop w:val="225"/>
                  <w:marBottom w:val="0"/>
                  <w:divBdr>
                    <w:top w:val="none" w:sz="0" w:space="0" w:color="auto"/>
                    <w:left w:val="none" w:sz="0" w:space="0" w:color="auto"/>
                    <w:bottom w:val="single" w:sz="6" w:space="11" w:color="B1B1B1"/>
                    <w:right w:val="none" w:sz="0" w:space="0" w:color="auto"/>
                  </w:divBdr>
                </w:div>
              </w:divsChild>
            </w:div>
          </w:divsChild>
        </w:div>
      </w:divsChild>
    </w:div>
    <w:div w:id="157353226">
      <w:marLeft w:val="0"/>
      <w:marRight w:val="0"/>
      <w:marTop w:val="0"/>
      <w:marBottom w:val="0"/>
      <w:divBdr>
        <w:top w:val="none" w:sz="0" w:space="0" w:color="auto"/>
        <w:left w:val="none" w:sz="0" w:space="0" w:color="auto"/>
        <w:bottom w:val="none" w:sz="0" w:space="0" w:color="auto"/>
        <w:right w:val="none" w:sz="0" w:space="0" w:color="auto"/>
      </w:divBdr>
    </w:div>
    <w:div w:id="157353228">
      <w:marLeft w:val="0"/>
      <w:marRight w:val="0"/>
      <w:marTop w:val="0"/>
      <w:marBottom w:val="0"/>
      <w:divBdr>
        <w:top w:val="none" w:sz="0" w:space="0" w:color="auto"/>
        <w:left w:val="none" w:sz="0" w:space="0" w:color="auto"/>
        <w:bottom w:val="none" w:sz="0" w:space="0" w:color="auto"/>
        <w:right w:val="none" w:sz="0" w:space="0" w:color="auto"/>
      </w:divBdr>
    </w:div>
    <w:div w:id="157353240">
      <w:marLeft w:val="0"/>
      <w:marRight w:val="0"/>
      <w:marTop w:val="0"/>
      <w:marBottom w:val="0"/>
      <w:divBdr>
        <w:top w:val="none" w:sz="0" w:space="0" w:color="auto"/>
        <w:left w:val="none" w:sz="0" w:space="0" w:color="auto"/>
        <w:bottom w:val="none" w:sz="0" w:space="0" w:color="auto"/>
        <w:right w:val="none" w:sz="0" w:space="0" w:color="auto"/>
      </w:divBdr>
    </w:div>
    <w:div w:id="157353241">
      <w:marLeft w:val="0"/>
      <w:marRight w:val="0"/>
      <w:marTop w:val="0"/>
      <w:marBottom w:val="0"/>
      <w:divBdr>
        <w:top w:val="none" w:sz="0" w:space="0" w:color="auto"/>
        <w:left w:val="none" w:sz="0" w:space="0" w:color="auto"/>
        <w:bottom w:val="none" w:sz="0" w:space="0" w:color="auto"/>
        <w:right w:val="none" w:sz="0" w:space="0" w:color="auto"/>
      </w:divBdr>
    </w:div>
    <w:div w:id="157353246">
      <w:marLeft w:val="0"/>
      <w:marRight w:val="0"/>
      <w:marTop w:val="0"/>
      <w:marBottom w:val="0"/>
      <w:divBdr>
        <w:top w:val="none" w:sz="0" w:space="0" w:color="auto"/>
        <w:left w:val="none" w:sz="0" w:space="0" w:color="auto"/>
        <w:bottom w:val="none" w:sz="0" w:space="0" w:color="auto"/>
        <w:right w:val="none" w:sz="0" w:space="0" w:color="auto"/>
      </w:divBdr>
    </w:div>
    <w:div w:id="157353249">
      <w:marLeft w:val="0"/>
      <w:marRight w:val="0"/>
      <w:marTop w:val="0"/>
      <w:marBottom w:val="0"/>
      <w:divBdr>
        <w:top w:val="none" w:sz="0" w:space="0" w:color="auto"/>
        <w:left w:val="none" w:sz="0" w:space="0" w:color="auto"/>
        <w:bottom w:val="none" w:sz="0" w:space="0" w:color="auto"/>
        <w:right w:val="none" w:sz="0" w:space="0" w:color="auto"/>
      </w:divBdr>
    </w:div>
    <w:div w:id="157353253">
      <w:marLeft w:val="0"/>
      <w:marRight w:val="0"/>
      <w:marTop w:val="0"/>
      <w:marBottom w:val="0"/>
      <w:divBdr>
        <w:top w:val="none" w:sz="0" w:space="0" w:color="auto"/>
        <w:left w:val="none" w:sz="0" w:space="0" w:color="auto"/>
        <w:bottom w:val="none" w:sz="0" w:space="0" w:color="auto"/>
        <w:right w:val="none" w:sz="0" w:space="0" w:color="auto"/>
      </w:divBdr>
    </w:div>
    <w:div w:id="157353265">
      <w:marLeft w:val="0"/>
      <w:marRight w:val="0"/>
      <w:marTop w:val="0"/>
      <w:marBottom w:val="0"/>
      <w:divBdr>
        <w:top w:val="none" w:sz="0" w:space="0" w:color="auto"/>
        <w:left w:val="none" w:sz="0" w:space="0" w:color="auto"/>
        <w:bottom w:val="none" w:sz="0" w:space="0" w:color="auto"/>
        <w:right w:val="none" w:sz="0" w:space="0" w:color="auto"/>
      </w:divBdr>
      <w:divsChild>
        <w:div w:id="157353286">
          <w:marLeft w:val="0"/>
          <w:marRight w:val="0"/>
          <w:marTop w:val="0"/>
          <w:marBottom w:val="0"/>
          <w:divBdr>
            <w:top w:val="none" w:sz="0" w:space="0" w:color="auto"/>
            <w:left w:val="none" w:sz="0" w:space="0" w:color="auto"/>
            <w:bottom w:val="none" w:sz="0" w:space="0" w:color="auto"/>
            <w:right w:val="none" w:sz="0" w:space="0" w:color="auto"/>
          </w:divBdr>
          <w:divsChild>
            <w:div w:id="157352595">
              <w:marLeft w:val="0"/>
              <w:marRight w:val="0"/>
              <w:marTop w:val="0"/>
              <w:marBottom w:val="0"/>
              <w:divBdr>
                <w:top w:val="none" w:sz="0" w:space="0" w:color="auto"/>
                <w:left w:val="none" w:sz="0" w:space="0" w:color="auto"/>
                <w:bottom w:val="none" w:sz="0" w:space="0" w:color="auto"/>
                <w:right w:val="none" w:sz="0" w:space="0" w:color="auto"/>
              </w:divBdr>
              <w:divsChild>
                <w:div w:id="157352556">
                  <w:marLeft w:val="150"/>
                  <w:marRight w:val="0"/>
                  <w:marTop w:val="150"/>
                  <w:marBottom w:val="75"/>
                  <w:divBdr>
                    <w:top w:val="dotted" w:sz="6" w:space="8" w:color="999999"/>
                    <w:left w:val="none" w:sz="0" w:space="0" w:color="auto"/>
                    <w:bottom w:val="none" w:sz="0" w:space="0" w:color="auto"/>
                    <w:right w:val="none" w:sz="0" w:space="0" w:color="auto"/>
                  </w:divBdr>
                  <w:divsChild>
                    <w:div w:id="157352930">
                      <w:marLeft w:val="0"/>
                      <w:marRight w:val="0"/>
                      <w:marTop w:val="0"/>
                      <w:marBottom w:val="0"/>
                      <w:divBdr>
                        <w:top w:val="none" w:sz="0" w:space="0" w:color="auto"/>
                        <w:left w:val="none" w:sz="0" w:space="0" w:color="auto"/>
                        <w:bottom w:val="dotted" w:sz="6" w:space="4" w:color="999999"/>
                        <w:right w:val="none" w:sz="0" w:space="0" w:color="auto"/>
                      </w:divBdr>
                      <w:divsChild>
                        <w:div w:id="1573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3266">
      <w:marLeft w:val="0"/>
      <w:marRight w:val="0"/>
      <w:marTop w:val="0"/>
      <w:marBottom w:val="0"/>
      <w:divBdr>
        <w:top w:val="none" w:sz="0" w:space="0" w:color="auto"/>
        <w:left w:val="none" w:sz="0" w:space="0" w:color="auto"/>
        <w:bottom w:val="none" w:sz="0" w:space="0" w:color="auto"/>
        <w:right w:val="none" w:sz="0" w:space="0" w:color="auto"/>
      </w:divBdr>
    </w:div>
    <w:div w:id="157353269">
      <w:marLeft w:val="0"/>
      <w:marRight w:val="0"/>
      <w:marTop w:val="0"/>
      <w:marBottom w:val="0"/>
      <w:divBdr>
        <w:top w:val="none" w:sz="0" w:space="0" w:color="auto"/>
        <w:left w:val="none" w:sz="0" w:space="0" w:color="auto"/>
        <w:bottom w:val="none" w:sz="0" w:space="0" w:color="auto"/>
        <w:right w:val="none" w:sz="0" w:space="0" w:color="auto"/>
      </w:divBdr>
    </w:div>
    <w:div w:id="157353271">
      <w:marLeft w:val="0"/>
      <w:marRight w:val="0"/>
      <w:marTop w:val="0"/>
      <w:marBottom w:val="0"/>
      <w:divBdr>
        <w:top w:val="none" w:sz="0" w:space="0" w:color="auto"/>
        <w:left w:val="none" w:sz="0" w:space="0" w:color="auto"/>
        <w:bottom w:val="none" w:sz="0" w:space="0" w:color="auto"/>
        <w:right w:val="none" w:sz="0" w:space="0" w:color="auto"/>
      </w:divBdr>
      <w:divsChild>
        <w:div w:id="157352905">
          <w:marLeft w:val="0"/>
          <w:marRight w:val="0"/>
          <w:marTop w:val="0"/>
          <w:marBottom w:val="0"/>
          <w:divBdr>
            <w:top w:val="none" w:sz="0" w:space="0" w:color="auto"/>
            <w:left w:val="none" w:sz="0" w:space="0" w:color="auto"/>
            <w:bottom w:val="none" w:sz="0" w:space="0" w:color="auto"/>
            <w:right w:val="none" w:sz="0" w:space="0" w:color="auto"/>
          </w:divBdr>
          <w:divsChild>
            <w:div w:id="157352663">
              <w:marLeft w:val="0"/>
              <w:marRight w:val="0"/>
              <w:marTop w:val="0"/>
              <w:marBottom w:val="0"/>
              <w:divBdr>
                <w:top w:val="none" w:sz="0" w:space="0" w:color="auto"/>
                <w:left w:val="none" w:sz="0" w:space="0" w:color="auto"/>
                <w:bottom w:val="none" w:sz="0" w:space="0" w:color="auto"/>
                <w:right w:val="none" w:sz="0" w:space="0" w:color="auto"/>
              </w:divBdr>
              <w:divsChild>
                <w:div w:id="157352567">
                  <w:marLeft w:val="0"/>
                  <w:marRight w:val="0"/>
                  <w:marTop w:val="0"/>
                  <w:marBottom w:val="0"/>
                  <w:divBdr>
                    <w:top w:val="none" w:sz="0" w:space="0" w:color="auto"/>
                    <w:left w:val="none" w:sz="0" w:space="0" w:color="auto"/>
                    <w:bottom w:val="none" w:sz="0" w:space="0" w:color="auto"/>
                    <w:right w:val="none" w:sz="0" w:space="0" w:color="auto"/>
                  </w:divBdr>
                  <w:divsChild>
                    <w:div w:id="157353294">
                      <w:marLeft w:val="0"/>
                      <w:marRight w:val="0"/>
                      <w:marTop w:val="0"/>
                      <w:marBottom w:val="0"/>
                      <w:divBdr>
                        <w:top w:val="none" w:sz="0" w:space="0" w:color="auto"/>
                        <w:left w:val="none" w:sz="0" w:space="0" w:color="auto"/>
                        <w:bottom w:val="none" w:sz="0" w:space="0" w:color="auto"/>
                        <w:right w:val="none" w:sz="0" w:space="0" w:color="auto"/>
                      </w:divBdr>
                      <w:divsChild>
                        <w:div w:id="157352614">
                          <w:marLeft w:val="0"/>
                          <w:marRight w:val="0"/>
                          <w:marTop w:val="0"/>
                          <w:marBottom w:val="0"/>
                          <w:divBdr>
                            <w:top w:val="none" w:sz="0" w:space="0" w:color="auto"/>
                            <w:left w:val="none" w:sz="0" w:space="0" w:color="auto"/>
                            <w:bottom w:val="none" w:sz="0" w:space="0" w:color="auto"/>
                            <w:right w:val="none" w:sz="0" w:space="0" w:color="auto"/>
                          </w:divBdr>
                          <w:divsChild>
                            <w:div w:id="157353086">
                              <w:marLeft w:val="0"/>
                              <w:marRight w:val="0"/>
                              <w:marTop w:val="0"/>
                              <w:marBottom w:val="0"/>
                              <w:divBdr>
                                <w:top w:val="none" w:sz="0" w:space="0" w:color="auto"/>
                                <w:left w:val="none" w:sz="0" w:space="0" w:color="auto"/>
                                <w:bottom w:val="none" w:sz="0" w:space="0" w:color="auto"/>
                                <w:right w:val="none" w:sz="0" w:space="0" w:color="auto"/>
                              </w:divBdr>
                              <w:divsChild>
                                <w:div w:id="157353080">
                                  <w:marLeft w:val="0"/>
                                  <w:marRight w:val="0"/>
                                  <w:marTop w:val="0"/>
                                  <w:marBottom w:val="390"/>
                                  <w:divBdr>
                                    <w:top w:val="none" w:sz="0" w:space="0" w:color="auto"/>
                                    <w:left w:val="none" w:sz="0" w:space="0" w:color="auto"/>
                                    <w:bottom w:val="none" w:sz="0" w:space="0" w:color="auto"/>
                                    <w:right w:val="none" w:sz="0" w:space="0" w:color="auto"/>
                                  </w:divBdr>
                                  <w:divsChild>
                                    <w:div w:id="157353134">
                                      <w:marLeft w:val="0"/>
                                      <w:marRight w:val="0"/>
                                      <w:marTop w:val="0"/>
                                      <w:marBottom w:val="0"/>
                                      <w:divBdr>
                                        <w:top w:val="none" w:sz="0" w:space="0" w:color="auto"/>
                                        <w:left w:val="none" w:sz="0" w:space="0" w:color="auto"/>
                                        <w:bottom w:val="none" w:sz="0" w:space="0" w:color="auto"/>
                                        <w:right w:val="none" w:sz="0" w:space="0" w:color="auto"/>
                                      </w:divBdr>
                                      <w:divsChild>
                                        <w:div w:id="157352647">
                                          <w:marLeft w:val="0"/>
                                          <w:marRight w:val="0"/>
                                          <w:marTop w:val="240"/>
                                          <w:marBottom w:val="240"/>
                                          <w:divBdr>
                                            <w:top w:val="none" w:sz="0" w:space="0" w:color="auto"/>
                                            <w:left w:val="none" w:sz="0" w:space="0" w:color="auto"/>
                                            <w:bottom w:val="none" w:sz="0" w:space="0" w:color="auto"/>
                                            <w:right w:val="none" w:sz="0" w:space="0" w:color="auto"/>
                                          </w:divBdr>
                                        </w:div>
                                        <w:div w:id="157353234">
                                          <w:marLeft w:val="0"/>
                                          <w:marRight w:val="0"/>
                                          <w:marTop w:val="240"/>
                                          <w:marBottom w:val="240"/>
                                          <w:divBdr>
                                            <w:top w:val="none" w:sz="0" w:space="0" w:color="auto"/>
                                            <w:left w:val="none" w:sz="0" w:space="0" w:color="auto"/>
                                            <w:bottom w:val="none" w:sz="0" w:space="0" w:color="auto"/>
                                            <w:right w:val="none" w:sz="0" w:space="0" w:color="auto"/>
                                          </w:divBdr>
                                        </w:div>
                                        <w:div w:id="1573532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53274">
      <w:marLeft w:val="0"/>
      <w:marRight w:val="0"/>
      <w:marTop w:val="0"/>
      <w:marBottom w:val="0"/>
      <w:divBdr>
        <w:top w:val="none" w:sz="0" w:space="0" w:color="auto"/>
        <w:left w:val="none" w:sz="0" w:space="0" w:color="auto"/>
        <w:bottom w:val="none" w:sz="0" w:space="0" w:color="auto"/>
        <w:right w:val="none" w:sz="0" w:space="0" w:color="auto"/>
      </w:divBdr>
      <w:divsChild>
        <w:div w:id="157352926">
          <w:marLeft w:val="0"/>
          <w:marRight w:val="0"/>
          <w:marTop w:val="0"/>
          <w:marBottom w:val="0"/>
          <w:divBdr>
            <w:top w:val="none" w:sz="0" w:space="0" w:color="auto"/>
            <w:left w:val="none" w:sz="0" w:space="0" w:color="auto"/>
            <w:bottom w:val="none" w:sz="0" w:space="0" w:color="auto"/>
            <w:right w:val="none" w:sz="0" w:space="0" w:color="auto"/>
          </w:divBdr>
          <w:divsChild>
            <w:div w:id="157352964">
              <w:marLeft w:val="0"/>
              <w:marRight w:val="0"/>
              <w:marTop w:val="0"/>
              <w:marBottom w:val="0"/>
              <w:divBdr>
                <w:top w:val="none" w:sz="0" w:space="0" w:color="auto"/>
                <w:left w:val="none" w:sz="0" w:space="0" w:color="auto"/>
                <w:bottom w:val="none" w:sz="0" w:space="0" w:color="auto"/>
                <w:right w:val="none" w:sz="0" w:space="0" w:color="auto"/>
              </w:divBdr>
              <w:divsChild>
                <w:div w:id="157353332">
                  <w:marLeft w:val="0"/>
                  <w:marRight w:val="0"/>
                  <w:marTop w:val="0"/>
                  <w:marBottom w:val="0"/>
                  <w:divBdr>
                    <w:top w:val="none" w:sz="0" w:space="0" w:color="auto"/>
                    <w:left w:val="none" w:sz="0" w:space="0" w:color="auto"/>
                    <w:bottom w:val="none" w:sz="0" w:space="0" w:color="auto"/>
                    <w:right w:val="none" w:sz="0" w:space="0" w:color="auto"/>
                  </w:divBdr>
                  <w:divsChild>
                    <w:div w:id="157352705">
                      <w:marLeft w:val="0"/>
                      <w:marRight w:val="0"/>
                      <w:marTop w:val="0"/>
                      <w:marBottom w:val="0"/>
                      <w:divBdr>
                        <w:top w:val="none" w:sz="0" w:space="0" w:color="auto"/>
                        <w:left w:val="none" w:sz="0" w:space="0" w:color="auto"/>
                        <w:bottom w:val="none" w:sz="0" w:space="0" w:color="auto"/>
                        <w:right w:val="none" w:sz="0" w:space="0" w:color="auto"/>
                      </w:divBdr>
                      <w:divsChild>
                        <w:div w:id="157352855">
                          <w:marLeft w:val="0"/>
                          <w:marRight w:val="0"/>
                          <w:marTop w:val="0"/>
                          <w:marBottom w:val="0"/>
                          <w:divBdr>
                            <w:top w:val="none" w:sz="0" w:space="0" w:color="auto"/>
                            <w:left w:val="none" w:sz="0" w:space="0" w:color="auto"/>
                            <w:bottom w:val="none" w:sz="0" w:space="0" w:color="auto"/>
                            <w:right w:val="none" w:sz="0" w:space="0" w:color="auto"/>
                          </w:divBdr>
                          <w:divsChild>
                            <w:div w:id="157352939">
                              <w:marLeft w:val="0"/>
                              <w:marRight w:val="0"/>
                              <w:marTop w:val="0"/>
                              <w:marBottom w:val="0"/>
                              <w:divBdr>
                                <w:top w:val="none" w:sz="0" w:space="0" w:color="auto"/>
                                <w:left w:val="none" w:sz="0" w:space="0" w:color="auto"/>
                                <w:bottom w:val="none" w:sz="0" w:space="0" w:color="auto"/>
                                <w:right w:val="none" w:sz="0" w:space="0" w:color="auto"/>
                              </w:divBdr>
                              <w:divsChild>
                                <w:div w:id="157352859">
                                  <w:marLeft w:val="0"/>
                                  <w:marRight w:val="0"/>
                                  <w:marTop w:val="0"/>
                                  <w:marBottom w:val="390"/>
                                  <w:divBdr>
                                    <w:top w:val="none" w:sz="0" w:space="0" w:color="auto"/>
                                    <w:left w:val="none" w:sz="0" w:space="0" w:color="auto"/>
                                    <w:bottom w:val="none" w:sz="0" w:space="0" w:color="auto"/>
                                    <w:right w:val="none" w:sz="0" w:space="0" w:color="auto"/>
                                  </w:divBdr>
                                  <w:divsChild>
                                    <w:div w:id="157352898">
                                      <w:marLeft w:val="0"/>
                                      <w:marRight w:val="0"/>
                                      <w:marTop w:val="0"/>
                                      <w:marBottom w:val="0"/>
                                      <w:divBdr>
                                        <w:top w:val="none" w:sz="0" w:space="0" w:color="auto"/>
                                        <w:left w:val="none" w:sz="0" w:space="0" w:color="auto"/>
                                        <w:bottom w:val="none" w:sz="0" w:space="0" w:color="auto"/>
                                        <w:right w:val="none" w:sz="0" w:space="0" w:color="auto"/>
                                      </w:divBdr>
                                      <w:divsChild>
                                        <w:div w:id="1573528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53284">
      <w:marLeft w:val="0"/>
      <w:marRight w:val="0"/>
      <w:marTop w:val="0"/>
      <w:marBottom w:val="0"/>
      <w:divBdr>
        <w:top w:val="none" w:sz="0" w:space="0" w:color="auto"/>
        <w:left w:val="none" w:sz="0" w:space="0" w:color="auto"/>
        <w:bottom w:val="none" w:sz="0" w:space="0" w:color="auto"/>
        <w:right w:val="none" w:sz="0" w:space="0" w:color="auto"/>
      </w:divBdr>
      <w:divsChild>
        <w:div w:id="157352725">
          <w:marLeft w:val="0"/>
          <w:marRight w:val="0"/>
          <w:marTop w:val="0"/>
          <w:marBottom w:val="0"/>
          <w:divBdr>
            <w:top w:val="none" w:sz="0" w:space="0" w:color="auto"/>
            <w:left w:val="none" w:sz="0" w:space="0" w:color="auto"/>
            <w:bottom w:val="none" w:sz="0" w:space="0" w:color="auto"/>
            <w:right w:val="none" w:sz="0" w:space="0" w:color="auto"/>
          </w:divBdr>
          <w:divsChild>
            <w:div w:id="157352710">
              <w:marLeft w:val="0"/>
              <w:marRight w:val="0"/>
              <w:marTop w:val="0"/>
              <w:marBottom w:val="150"/>
              <w:divBdr>
                <w:top w:val="none" w:sz="0" w:space="0" w:color="auto"/>
                <w:left w:val="none" w:sz="0" w:space="0" w:color="auto"/>
                <w:bottom w:val="none" w:sz="0" w:space="0" w:color="auto"/>
                <w:right w:val="none" w:sz="0" w:space="0" w:color="auto"/>
              </w:divBdr>
              <w:divsChild>
                <w:div w:id="1573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3285">
      <w:marLeft w:val="0"/>
      <w:marRight w:val="0"/>
      <w:marTop w:val="0"/>
      <w:marBottom w:val="0"/>
      <w:divBdr>
        <w:top w:val="none" w:sz="0" w:space="0" w:color="auto"/>
        <w:left w:val="none" w:sz="0" w:space="0" w:color="auto"/>
        <w:bottom w:val="none" w:sz="0" w:space="0" w:color="auto"/>
        <w:right w:val="none" w:sz="0" w:space="0" w:color="auto"/>
      </w:divBdr>
    </w:div>
    <w:div w:id="157353290">
      <w:marLeft w:val="0"/>
      <w:marRight w:val="0"/>
      <w:marTop w:val="0"/>
      <w:marBottom w:val="0"/>
      <w:divBdr>
        <w:top w:val="none" w:sz="0" w:space="0" w:color="auto"/>
        <w:left w:val="none" w:sz="0" w:space="0" w:color="auto"/>
        <w:bottom w:val="none" w:sz="0" w:space="0" w:color="auto"/>
        <w:right w:val="none" w:sz="0" w:space="0" w:color="auto"/>
      </w:divBdr>
      <w:divsChild>
        <w:div w:id="157353064">
          <w:marLeft w:val="0"/>
          <w:marRight w:val="0"/>
          <w:marTop w:val="0"/>
          <w:marBottom w:val="0"/>
          <w:divBdr>
            <w:top w:val="none" w:sz="0" w:space="0" w:color="auto"/>
            <w:left w:val="none" w:sz="0" w:space="0" w:color="auto"/>
            <w:bottom w:val="none" w:sz="0" w:space="0" w:color="auto"/>
            <w:right w:val="none" w:sz="0" w:space="0" w:color="auto"/>
          </w:divBdr>
          <w:divsChild>
            <w:div w:id="157352992">
              <w:marLeft w:val="0"/>
              <w:marRight w:val="0"/>
              <w:marTop w:val="0"/>
              <w:marBottom w:val="150"/>
              <w:divBdr>
                <w:top w:val="none" w:sz="0" w:space="0" w:color="auto"/>
                <w:left w:val="none" w:sz="0" w:space="0" w:color="auto"/>
                <w:bottom w:val="none" w:sz="0" w:space="0" w:color="auto"/>
                <w:right w:val="none" w:sz="0" w:space="0" w:color="auto"/>
              </w:divBdr>
              <w:divsChild>
                <w:div w:id="1573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3296">
      <w:marLeft w:val="0"/>
      <w:marRight w:val="0"/>
      <w:marTop w:val="0"/>
      <w:marBottom w:val="0"/>
      <w:divBdr>
        <w:top w:val="none" w:sz="0" w:space="0" w:color="auto"/>
        <w:left w:val="none" w:sz="0" w:space="0" w:color="auto"/>
        <w:bottom w:val="none" w:sz="0" w:space="0" w:color="auto"/>
        <w:right w:val="none" w:sz="0" w:space="0" w:color="auto"/>
      </w:divBdr>
    </w:div>
    <w:div w:id="157353301">
      <w:marLeft w:val="0"/>
      <w:marRight w:val="0"/>
      <w:marTop w:val="0"/>
      <w:marBottom w:val="0"/>
      <w:divBdr>
        <w:top w:val="none" w:sz="0" w:space="0" w:color="auto"/>
        <w:left w:val="none" w:sz="0" w:space="0" w:color="auto"/>
        <w:bottom w:val="none" w:sz="0" w:space="0" w:color="auto"/>
        <w:right w:val="none" w:sz="0" w:space="0" w:color="auto"/>
      </w:divBdr>
    </w:div>
    <w:div w:id="157353303">
      <w:marLeft w:val="0"/>
      <w:marRight w:val="0"/>
      <w:marTop w:val="0"/>
      <w:marBottom w:val="0"/>
      <w:divBdr>
        <w:top w:val="none" w:sz="0" w:space="0" w:color="auto"/>
        <w:left w:val="none" w:sz="0" w:space="0" w:color="auto"/>
        <w:bottom w:val="none" w:sz="0" w:space="0" w:color="auto"/>
        <w:right w:val="none" w:sz="0" w:space="0" w:color="auto"/>
      </w:divBdr>
    </w:div>
    <w:div w:id="157353306">
      <w:marLeft w:val="0"/>
      <w:marRight w:val="0"/>
      <w:marTop w:val="0"/>
      <w:marBottom w:val="0"/>
      <w:divBdr>
        <w:top w:val="none" w:sz="0" w:space="0" w:color="auto"/>
        <w:left w:val="none" w:sz="0" w:space="0" w:color="auto"/>
        <w:bottom w:val="none" w:sz="0" w:space="0" w:color="auto"/>
        <w:right w:val="none" w:sz="0" w:space="0" w:color="auto"/>
      </w:divBdr>
    </w:div>
    <w:div w:id="157353310">
      <w:marLeft w:val="0"/>
      <w:marRight w:val="0"/>
      <w:marTop w:val="0"/>
      <w:marBottom w:val="0"/>
      <w:divBdr>
        <w:top w:val="none" w:sz="0" w:space="0" w:color="auto"/>
        <w:left w:val="none" w:sz="0" w:space="0" w:color="auto"/>
        <w:bottom w:val="none" w:sz="0" w:space="0" w:color="auto"/>
        <w:right w:val="none" w:sz="0" w:space="0" w:color="auto"/>
      </w:divBdr>
      <w:divsChild>
        <w:div w:id="157352602">
          <w:marLeft w:val="0"/>
          <w:marRight w:val="0"/>
          <w:marTop w:val="0"/>
          <w:marBottom w:val="0"/>
          <w:divBdr>
            <w:top w:val="none" w:sz="0" w:space="0" w:color="auto"/>
            <w:left w:val="none" w:sz="0" w:space="0" w:color="auto"/>
            <w:bottom w:val="none" w:sz="0" w:space="0" w:color="auto"/>
            <w:right w:val="none" w:sz="0" w:space="0" w:color="auto"/>
          </w:divBdr>
          <w:divsChild>
            <w:div w:id="157353343">
              <w:marLeft w:val="0"/>
              <w:marRight w:val="0"/>
              <w:marTop w:val="0"/>
              <w:marBottom w:val="150"/>
              <w:divBdr>
                <w:top w:val="none" w:sz="0" w:space="0" w:color="auto"/>
                <w:left w:val="none" w:sz="0" w:space="0" w:color="auto"/>
                <w:bottom w:val="none" w:sz="0" w:space="0" w:color="auto"/>
                <w:right w:val="none" w:sz="0" w:space="0" w:color="auto"/>
              </w:divBdr>
              <w:divsChild>
                <w:div w:id="1573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3312">
      <w:marLeft w:val="0"/>
      <w:marRight w:val="0"/>
      <w:marTop w:val="0"/>
      <w:marBottom w:val="0"/>
      <w:divBdr>
        <w:top w:val="none" w:sz="0" w:space="0" w:color="auto"/>
        <w:left w:val="none" w:sz="0" w:space="0" w:color="auto"/>
        <w:bottom w:val="none" w:sz="0" w:space="0" w:color="auto"/>
        <w:right w:val="none" w:sz="0" w:space="0" w:color="auto"/>
      </w:divBdr>
    </w:div>
    <w:div w:id="157353322">
      <w:marLeft w:val="0"/>
      <w:marRight w:val="0"/>
      <w:marTop w:val="0"/>
      <w:marBottom w:val="0"/>
      <w:divBdr>
        <w:top w:val="none" w:sz="0" w:space="0" w:color="auto"/>
        <w:left w:val="none" w:sz="0" w:space="0" w:color="auto"/>
        <w:bottom w:val="none" w:sz="0" w:space="0" w:color="auto"/>
        <w:right w:val="none" w:sz="0" w:space="0" w:color="auto"/>
      </w:divBdr>
      <w:divsChild>
        <w:div w:id="157352572">
          <w:marLeft w:val="0"/>
          <w:marRight w:val="0"/>
          <w:marTop w:val="0"/>
          <w:marBottom w:val="0"/>
          <w:divBdr>
            <w:top w:val="none" w:sz="0" w:space="0" w:color="auto"/>
            <w:left w:val="none" w:sz="0" w:space="0" w:color="auto"/>
            <w:bottom w:val="none" w:sz="0" w:space="0" w:color="auto"/>
            <w:right w:val="none" w:sz="0" w:space="0" w:color="auto"/>
          </w:divBdr>
          <w:divsChild>
            <w:div w:id="157352963">
              <w:marLeft w:val="0"/>
              <w:marRight w:val="0"/>
              <w:marTop w:val="0"/>
              <w:marBottom w:val="0"/>
              <w:divBdr>
                <w:top w:val="none" w:sz="0" w:space="0" w:color="auto"/>
                <w:left w:val="none" w:sz="0" w:space="0" w:color="auto"/>
                <w:bottom w:val="none" w:sz="0" w:space="0" w:color="auto"/>
                <w:right w:val="none" w:sz="0" w:space="0" w:color="auto"/>
              </w:divBdr>
              <w:divsChild>
                <w:div w:id="157352822">
                  <w:marLeft w:val="0"/>
                  <w:marRight w:val="0"/>
                  <w:marTop w:val="0"/>
                  <w:marBottom w:val="0"/>
                  <w:divBdr>
                    <w:top w:val="none" w:sz="0" w:space="0" w:color="auto"/>
                    <w:left w:val="none" w:sz="0" w:space="0" w:color="auto"/>
                    <w:bottom w:val="none" w:sz="0" w:space="0" w:color="auto"/>
                    <w:right w:val="none" w:sz="0" w:space="0" w:color="auto"/>
                  </w:divBdr>
                  <w:divsChild>
                    <w:div w:id="157353220">
                      <w:marLeft w:val="0"/>
                      <w:marRight w:val="0"/>
                      <w:marTop w:val="0"/>
                      <w:marBottom w:val="0"/>
                      <w:divBdr>
                        <w:top w:val="none" w:sz="0" w:space="0" w:color="auto"/>
                        <w:left w:val="none" w:sz="0" w:space="0" w:color="auto"/>
                        <w:bottom w:val="none" w:sz="0" w:space="0" w:color="auto"/>
                        <w:right w:val="none" w:sz="0" w:space="0" w:color="auto"/>
                      </w:divBdr>
                      <w:divsChild>
                        <w:div w:id="157352646">
                          <w:marLeft w:val="0"/>
                          <w:marRight w:val="0"/>
                          <w:marTop w:val="0"/>
                          <w:marBottom w:val="0"/>
                          <w:divBdr>
                            <w:top w:val="none" w:sz="0" w:space="0" w:color="auto"/>
                            <w:left w:val="none" w:sz="0" w:space="0" w:color="auto"/>
                            <w:bottom w:val="none" w:sz="0" w:space="0" w:color="auto"/>
                            <w:right w:val="none" w:sz="0" w:space="0" w:color="auto"/>
                          </w:divBdr>
                          <w:divsChild>
                            <w:div w:id="157352803">
                              <w:marLeft w:val="0"/>
                              <w:marRight w:val="0"/>
                              <w:marTop w:val="0"/>
                              <w:marBottom w:val="0"/>
                              <w:divBdr>
                                <w:top w:val="none" w:sz="0" w:space="0" w:color="auto"/>
                                <w:left w:val="none" w:sz="0" w:space="0" w:color="auto"/>
                                <w:bottom w:val="none" w:sz="0" w:space="0" w:color="auto"/>
                                <w:right w:val="none" w:sz="0" w:space="0" w:color="auto"/>
                              </w:divBdr>
                              <w:divsChild>
                                <w:div w:id="157352982">
                                  <w:marLeft w:val="0"/>
                                  <w:marRight w:val="0"/>
                                  <w:marTop w:val="0"/>
                                  <w:marBottom w:val="390"/>
                                  <w:divBdr>
                                    <w:top w:val="none" w:sz="0" w:space="0" w:color="auto"/>
                                    <w:left w:val="none" w:sz="0" w:space="0" w:color="auto"/>
                                    <w:bottom w:val="none" w:sz="0" w:space="0" w:color="auto"/>
                                    <w:right w:val="none" w:sz="0" w:space="0" w:color="auto"/>
                                  </w:divBdr>
                                  <w:divsChild>
                                    <w:div w:id="157353340">
                                      <w:marLeft w:val="0"/>
                                      <w:marRight w:val="0"/>
                                      <w:marTop w:val="0"/>
                                      <w:marBottom w:val="0"/>
                                      <w:divBdr>
                                        <w:top w:val="none" w:sz="0" w:space="0" w:color="auto"/>
                                        <w:left w:val="none" w:sz="0" w:space="0" w:color="auto"/>
                                        <w:bottom w:val="none" w:sz="0" w:space="0" w:color="auto"/>
                                        <w:right w:val="none" w:sz="0" w:space="0" w:color="auto"/>
                                      </w:divBdr>
                                      <w:divsChild>
                                        <w:div w:id="1573530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53323">
      <w:marLeft w:val="0"/>
      <w:marRight w:val="0"/>
      <w:marTop w:val="0"/>
      <w:marBottom w:val="0"/>
      <w:divBdr>
        <w:top w:val="none" w:sz="0" w:space="0" w:color="auto"/>
        <w:left w:val="none" w:sz="0" w:space="0" w:color="auto"/>
        <w:bottom w:val="none" w:sz="0" w:space="0" w:color="auto"/>
        <w:right w:val="none" w:sz="0" w:space="0" w:color="auto"/>
      </w:divBdr>
    </w:div>
    <w:div w:id="157353335">
      <w:marLeft w:val="0"/>
      <w:marRight w:val="0"/>
      <w:marTop w:val="0"/>
      <w:marBottom w:val="0"/>
      <w:divBdr>
        <w:top w:val="none" w:sz="0" w:space="0" w:color="auto"/>
        <w:left w:val="none" w:sz="0" w:space="0" w:color="auto"/>
        <w:bottom w:val="none" w:sz="0" w:space="0" w:color="auto"/>
        <w:right w:val="none" w:sz="0" w:space="0" w:color="auto"/>
      </w:divBdr>
    </w:div>
    <w:div w:id="157353345">
      <w:marLeft w:val="0"/>
      <w:marRight w:val="0"/>
      <w:marTop w:val="0"/>
      <w:marBottom w:val="0"/>
      <w:divBdr>
        <w:top w:val="none" w:sz="0" w:space="0" w:color="auto"/>
        <w:left w:val="none" w:sz="0" w:space="0" w:color="auto"/>
        <w:bottom w:val="none" w:sz="0" w:space="0" w:color="auto"/>
        <w:right w:val="none" w:sz="0" w:space="0" w:color="auto"/>
      </w:divBdr>
    </w:div>
    <w:div w:id="157353347">
      <w:marLeft w:val="0"/>
      <w:marRight w:val="0"/>
      <w:marTop w:val="0"/>
      <w:marBottom w:val="0"/>
      <w:divBdr>
        <w:top w:val="none" w:sz="0" w:space="0" w:color="auto"/>
        <w:left w:val="none" w:sz="0" w:space="0" w:color="auto"/>
        <w:bottom w:val="none" w:sz="0" w:space="0" w:color="auto"/>
        <w:right w:val="none" w:sz="0" w:space="0" w:color="auto"/>
      </w:divBdr>
    </w:div>
    <w:div w:id="157353354">
      <w:marLeft w:val="0"/>
      <w:marRight w:val="0"/>
      <w:marTop w:val="0"/>
      <w:marBottom w:val="0"/>
      <w:divBdr>
        <w:top w:val="none" w:sz="0" w:space="0" w:color="auto"/>
        <w:left w:val="none" w:sz="0" w:space="0" w:color="auto"/>
        <w:bottom w:val="none" w:sz="0" w:space="0" w:color="auto"/>
        <w:right w:val="none" w:sz="0" w:space="0" w:color="auto"/>
      </w:divBdr>
      <w:divsChild>
        <w:div w:id="157352652">
          <w:marLeft w:val="0"/>
          <w:marRight w:val="0"/>
          <w:marTop w:val="0"/>
          <w:marBottom w:val="0"/>
          <w:divBdr>
            <w:top w:val="none" w:sz="0" w:space="0" w:color="auto"/>
            <w:left w:val="none" w:sz="0" w:space="0" w:color="auto"/>
            <w:bottom w:val="none" w:sz="0" w:space="0" w:color="auto"/>
            <w:right w:val="none" w:sz="0" w:space="0" w:color="auto"/>
          </w:divBdr>
          <w:divsChild>
            <w:div w:id="157353125">
              <w:marLeft w:val="0"/>
              <w:marRight w:val="0"/>
              <w:marTop w:val="0"/>
              <w:marBottom w:val="0"/>
              <w:divBdr>
                <w:top w:val="none" w:sz="0" w:space="0" w:color="auto"/>
                <w:left w:val="none" w:sz="0" w:space="0" w:color="auto"/>
                <w:bottom w:val="none" w:sz="0" w:space="0" w:color="auto"/>
                <w:right w:val="none" w:sz="0" w:space="0" w:color="auto"/>
              </w:divBdr>
              <w:divsChild>
                <w:div w:id="157353111">
                  <w:marLeft w:val="-225"/>
                  <w:marRight w:val="-225"/>
                  <w:marTop w:val="0"/>
                  <w:marBottom w:val="0"/>
                  <w:divBdr>
                    <w:top w:val="none" w:sz="0" w:space="0" w:color="auto"/>
                    <w:left w:val="none" w:sz="0" w:space="0" w:color="auto"/>
                    <w:bottom w:val="none" w:sz="0" w:space="0" w:color="auto"/>
                    <w:right w:val="none" w:sz="0" w:space="0" w:color="auto"/>
                  </w:divBdr>
                  <w:divsChild>
                    <w:div w:id="157353200">
                      <w:marLeft w:val="0"/>
                      <w:marRight w:val="0"/>
                      <w:marTop w:val="0"/>
                      <w:marBottom w:val="0"/>
                      <w:divBdr>
                        <w:top w:val="none" w:sz="0" w:space="0" w:color="auto"/>
                        <w:left w:val="none" w:sz="0" w:space="0" w:color="auto"/>
                        <w:bottom w:val="none" w:sz="0" w:space="0" w:color="auto"/>
                        <w:right w:val="none" w:sz="0" w:space="0" w:color="auto"/>
                      </w:divBdr>
                      <w:divsChild>
                        <w:div w:id="157353172">
                          <w:marLeft w:val="-225"/>
                          <w:marRight w:val="-225"/>
                          <w:marTop w:val="0"/>
                          <w:marBottom w:val="0"/>
                          <w:divBdr>
                            <w:top w:val="none" w:sz="0" w:space="0" w:color="auto"/>
                            <w:left w:val="none" w:sz="0" w:space="0" w:color="auto"/>
                            <w:bottom w:val="none" w:sz="0" w:space="0" w:color="auto"/>
                            <w:right w:val="none" w:sz="0" w:space="0" w:color="auto"/>
                          </w:divBdr>
                          <w:divsChild>
                            <w:div w:id="157353326">
                              <w:marLeft w:val="0"/>
                              <w:marRight w:val="0"/>
                              <w:marTop w:val="0"/>
                              <w:marBottom w:val="0"/>
                              <w:divBdr>
                                <w:top w:val="none" w:sz="0" w:space="0" w:color="auto"/>
                                <w:left w:val="none" w:sz="0" w:space="0" w:color="auto"/>
                                <w:bottom w:val="none" w:sz="0" w:space="0" w:color="auto"/>
                                <w:right w:val="none" w:sz="0" w:space="0" w:color="auto"/>
                              </w:divBdr>
                              <w:divsChild>
                                <w:div w:id="157352808">
                                  <w:marLeft w:val="0"/>
                                  <w:marRight w:val="0"/>
                                  <w:marTop w:val="0"/>
                                  <w:marBottom w:val="0"/>
                                  <w:divBdr>
                                    <w:top w:val="none" w:sz="0" w:space="0" w:color="auto"/>
                                    <w:left w:val="none" w:sz="0" w:space="0" w:color="auto"/>
                                    <w:bottom w:val="none" w:sz="0" w:space="0" w:color="auto"/>
                                    <w:right w:val="none" w:sz="0" w:space="0" w:color="auto"/>
                                  </w:divBdr>
                                  <w:divsChild>
                                    <w:div w:id="157353223">
                                      <w:marLeft w:val="-225"/>
                                      <w:marRight w:val="-225"/>
                                      <w:marTop w:val="0"/>
                                      <w:marBottom w:val="0"/>
                                      <w:divBdr>
                                        <w:top w:val="none" w:sz="0" w:space="0" w:color="auto"/>
                                        <w:left w:val="none" w:sz="0" w:space="0" w:color="auto"/>
                                        <w:bottom w:val="none" w:sz="0" w:space="0" w:color="auto"/>
                                        <w:right w:val="none" w:sz="0" w:space="0" w:color="auto"/>
                                      </w:divBdr>
                                      <w:divsChild>
                                        <w:div w:id="157352605">
                                          <w:marLeft w:val="0"/>
                                          <w:marRight w:val="0"/>
                                          <w:marTop w:val="0"/>
                                          <w:marBottom w:val="0"/>
                                          <w:divBdr>
                                            <w:top w:val="none" w:sz="0" w:space="0" w:color="auto"/>
                                            <w:left w:val="none" w:sz="0" w:space="0" w:color="auto"/>
                                            <w:bottom w:val="none" w:sz="0" w:space="0" w:color="auto"/>
                                            <w:right w:val="none" w:sz="0" w:space="0" w:color="auto"/>
                                          </w:divBdr>
                                          <w:divsChild>
                                            <w:div w:id="157352775">
                                              <w:marLeft w:val="0"/>
                                              <w:marRight w:val="0"/>
                                              <w:marTop w:val="0"/>
                                              <w:marBottom w:val="300"/>
                                              <w:divBdr>
                                                <w:top w:val="none" w:sz="0" w:space="0" w:color="auto"/>
                                                <w:left w:val="none" w:sz="0" w:space="0" w:color="auto"/>
                                                <w:bottom w:val="single" w:sz="6" w:space="8" w:color="E6E6E6"/>
                                                <w:right w:val="none" w:sz="0" w:space="0" w:color="auto"/>
                                              </w:divBdr>
                                            </w:div>
                                          </w:divsChild>
                                        </w:div>
                                      </w:divsChild>
                                    </w:div>
                                  </w:divsChild>
                                </w:div>
                              </w:divsChild>
                            </w:div>
                          </w:divsChild>
                        </w:div>
                      </w:divsChild>
                    </w:div>
                  </w:divsChild>
                </w:div>
              </w:divsChild>
            </w:div>
          </w:divsChild>
        </w:div>
      </w:divsChild>
    </w:div>
    <w:div w:id="157353361">
      <w:marLeft w:val="0"/>
      <w:marRight w:val="0"/>
      <w:marTop w:val="0"/>
      <w:marBottom w:val="0"/>
      <w:divBdr>
        <w:top w:val="none" w:sz="0" w:space="0" w:color="auto"/>
        <w:left w:val="none" w:sz="0" w:space="0" w:color="auto"/>
        <w:bottom w:val="none" w:sz="0" w:space="0" w:color="auto"/>
        <w:right w:val="none" w:sz="0" w:space="0" w:color="auto"/>
      </w:divBdr>
    </w:div>
    <w:div w:id="157353366">
      <w:marLeft w:val="0"/>
      <w:marRight w:val="0"/>
      <w:marTop w:val="0"/>
      <w:marBottom w:val="0"/>
      <w:divBdr>
        <w:top w:val="none" w:sz="0" w:space="0" w:color="auto"/>
        <w:left w:val="none" w:sz="0" w:space="0" w:color="auto"/>
        <w:bottom w:val="none" w:sz="0" w:space="0" w:color="auto"/>
        <w:right w:val="none" w:sz="0" w:space="0" w:color="auto"/>
      </w:divBdr>
      <w:divsChild>
        <w:div w:id="157353160">
          <w:marLeft w:val="0"/>
          <w:marRight w:val="0"/>
          <w:marTop w:val="0"/>
          <w:marBottom w:val="0"/>
          <w:divBdr>
            <w:top w:val="none" w:sz="0" w:space="0" w:color="auto"/>
            <w:left w:val="none" w:sz="0" w:space="0" w:color="auto"/>
            <w:bottom w:val="none" w:sz="0" w:space="0" w:color="auto"/>
            <w:right w:val="none" w:sz="0" w:space="0" w:color="auto"/>
          </w:divBdr>
          <w:divsChild>
            <w:div w:id="157353227">
              <w:marLeft w:val="0"/>
              <w:marRight w:val="0"/>
              <w:marTop w:val="0"/>
              <w:marBottom w:val="0"/>
              <w:divBdr>
                <w:top w:val="none" w:sz="0" w:space="0" w:color="auto"/>
                <w:left w:val="none" w:sz="0" w:space="0" w:color="auto"/>
                <w:bottom w:val="none" w:sz="0" w:space="0" w:color="auto"/>
                <w:right w:val="none" w:sz="0" w:space="0" w:color="auto"/>
              </w:divBdr>
              <w:divsChild>
                <w:div w:id="157353059">
                  <w:marLeft w:val="0"/>
                  <w:marRight w:val="0"/>
                  <w:marTop w:val="0"/>
                  <w:marBottom w:val="0"/>
                  <w:divBdr>
                    <w:top w:val="none" w:sz="0" w:space="0" w:color="auto"/>
                    <w:left w:val="none" w:sz="0" w:space="0" w:color="auto"/>
                    <w:bottom w:val="none" w:sz="0" w:space="0" w:color="auto"/>
                    <w:right w:val="none" w:sz="0" w:space="0" w:color="auto"/>
                  </w:divBdr>
                  <w:divsChild>
                    <w:div w:id="157353130">
                      <w:marLeft w:val="0"/>
                      <w:marRight w:val="0"/>
                      <w:marTop w:val="0"/>
                      <w:marBottom w:val="0"/>
                      <w:divBdr>
                        <w:top w:val="none" w:sz="0" w:space="0" w:color="auto"/>
                        <w:left w:val="none" w:sz="0" w:space="0" w:color="auto"/>
                        <w:bottom w:val="none" w:sz="0" w:space="0" w:color="auto"/>
                        <w:right w:val="none" w:sz="0" w:space="0" w:color="auto"/>
                      </w:divBdr>
                      <w:divsChild>
                        <w:div w:id="157352985">
                          <w:marLeft w:val="0"/>
                          <w:marRight w:val="0"/>
                          <w:marTop w:val="0"/>
                          <w:marBottom w:val="0"/>
                          <w:divBdr>
                            <w:top w:val="none" w:sz="0" w:space="0" w:color="auto"/>
                            <w:left w:val="none" w:sz="0" w:space="0" w:color="auto"/>
                            <w:bottom w:val="none" w:sz="0" w:space="0" w:color="auto"/>
                            <w:right w:val="none" w:sz="0" w:space="0" w:color="auto"/>
                          </w:divBdr>
                          <w:divsChild>
                            <w:div w:id="157353013">
                              <w:marLeft w:val="0"/>
                              <w:marRight w:val="0"/>
                              <w:marTop w:val="0"/>
                              <w:marBottom w:val="0"/>
                              <w:divBdr>
                                <w:top w:val="none" w:sz="0" w:space="0" w:color="auto"/>
                                <w:left w:val="none" w:sz="0" w:space="0" w:color="auto"/>
                                <w:bottom w:val="none" w:sz="0" w:space="0" w:color="auto"/>
                                <w:right w:val="none" w:sz="0" w:space="0" w:color="auto"/>
                              </w:divBdr>
                              <w:divsChild>
                                <w:div w:id="157353157">
                                  <w:marLeft w:val="0"/>
                                  <w:marRight w:val="0"/>
                                  <w:marTop w:val="0"/>
                                  <w:marBottom w:val="390"/>
                                  <w:divBdr>
                                    <w:top w:val="none" w:sz="0" w:space="0" w:color="auto"/>
                                    <w:left w:val="none" w:sz="0" w:space="0" w:color="auto"/>
                                    <w:bottom w:val="none" w:sz="0" w:space="0" w:color="auto"/>
                                    <w:right w:val="none" w:sz="0" w:space="0" w:color="auto"/>
                                  </w:divBdr>
                                  <w:divsChild>
                                    <w:div w:id="157352857">
                                      <w:marLeft w:val="0"/>
                                      <w:marRight w:val="0"/>
                                      <w:marTop w:val="0"/>
                                      <w:marBottom w:val="0"/>
                                      <w:divBdr>
                                        <w:top w:val="none" w:sz="0" w:space="0" w:color="auto"/>
                                        <w:left w:val="none" w:sz="0" w:space="0" w:color="auto"/>
                                        <w:bottom w:val="none" w:sz="0" w:space="0" w:color="auto"/>
                                        <w:right w:val="none" w:sz="0" w:space="0" w:color="auto"/>
                                      </w:divBdr>
                                      <w:divsChild>
                                        <w:div w:id="1573526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53371">
      <w:marLeft w:val="0"/>
      <w:marRight w:val="0"/>
      <w:marTop w:val="0"/>
      <w:marBottom w:val="0"/>
      <w:divBdr>
        <w:top w:val="none" w:sz="0" w:space="0" w:color="auto"/>
        <w:left w:val="none" w:sz="0" w:space="0" w:color="auto"/>
        <w:bottom w:val="none" w:sz="0" w:space="0" w:color="auto"/>
        <w:right w:val="none" w:sz="0" w:space="0" w:color="auto"/>
      </w:divBdr>
      <w:divsChild>
        <w:div w:id="157352664">
          <w:marLeft w:val="0"/>
          <w:marRight w:val="0"/>
          <w:marTop w:val="0"/>
          <w:marBottom w:val="0"/>
          <w:divBdr>
            <w:top w:val="none" w:sz="0" w:space="0" w:color="auto"/>
            <w:left w:val="none" w:sz="0" w:space="0" w:color="auto"/>
            <w:bottom w:val="none" w:sz="0" w:space="0" w:color="auto"/>
            <w:right w:val="none" w:sz="0" w:space="0" w:color="auto"/>
          </w:divBdr>
          <w:divsChild>
            <w:div w:id="157352678">
              <w:marLeft w:val="0"/>
              <w:marRight w:val="0"/>
              <w:marTop w:val="0"/>
              <w:marBottom w:val="0"/>
              <w:divBdr>
                <w:top w:val="none" w:sz="0" w:space="0" w:color="auto"/>
                <w:left w:val="none" w:sz="0" w:space="0" w:color="auto"/>
                <w:bottom w:val="none" w:sz="0" w:space="0" w:color="auto"/>
                <w:right w:val="none" w:sz="0" w:space="0" w:color="auto"/>
              </w:divBdr>
              <w:divsChild>
                <w:div w:id="157352554">
                  <w:marLeft w:val="0"/>
                  <w:marRight w:val="0"/>
                  <w:marTop w:val="0"/>
                  <w:marBottom w:val="0"/>
                  <w:divBdr>
                    <w:top w:val="none" w:sz="0" w:space="0" w:color="auto"/>
                    <w:left w:val="none" w:sz="0" w:space="0" w:color="auto"/>
                    <w:bottom w:val="none" w:sz="0" w:space="0" w:color="auto"/>
                    <w:right w:val="none" w:sz="0" w:space="0" w:color="auto"/>
                  </w:divBdr>
                  <w:divsChild>
                    <w:div w:id="157352651">
                      <w:marLeft w:val="0"/>
                      <w:marRight w:val="0"/>
                      <w:marTop w:val="0"/>
                      <w:marBottom w:val="0"/>
                      <w:divBdr>
                        <w:top w:val="none" w:sz="0" w:space="0" w:color="auto"/>
                        <w:left w:val="none" w:sz="0" w:space="0" w:color="auto"/>
                        <w:bottom w:val="none" w:sz="0" w:space="0" w:color="auto"/>
                        <w:right w:val="none" w:sz="0" w:space="0" w:color="auto"/>
                      </w:divBdr>
                      <w:divsChild>
                        <w:div w:id="157352597">
                          <w:marLeft w:val="0"/>
                          <w:marRight w:val="0"/>
                          <w:marTop w:val="0"/>
                          <w:marBottom w:val="0"/>
                          <w:divBdr>
                            <w:top w:val="none" w:sz="0" w:space="0" w:color="auto"/>
                            <w:left w:val="none" w:sz="0" w:space="0" w:color="auto"/>
                            <w:bottom w:val="none" w:sz="0" w:space="0" w:color="auto"/>
                            <w:right w:val="none" w:sz="0" w:space="0" w:color="auto"/>
                          </w:divBdr>
                          <w:divsChild>
                            <w:div w:id="157352501">
                              <w:marLeft w:val="0"/>
                              <w:marRight w:val="0"/>
                              <w:marTop w:val="0"/>
                              <w:marBottom w:val="0"/>
                              <w:divBdr>
                                <w:top w:val="none" w:sz="0" w:space="0" w:color="auto"/>
                                <w:left w:val="none" w:sz="0" w:space="0" w:color="auto"/>
                                <w:bottom w:val="none" w:sz="0" w:space="0" w:color="auto"/>
                                <w:right w:val="none" w:sz="0" w:space="0" w:color="auto"/>
                              </w:divBdr>
                              <w:divsChild>
                                <w:div w:id="157352948">
                                  <w:marLeft w:val="0"/>
                                  <w:marRight w:val="0"/>
                                  <w:marTop w:val="0"/>
                                  <w:marBottom w:val="0"/>
                                  <w:divBdr>
                                    <w:top w:val="none" w:sz="0" w:space="0" w:color="auto"/>
                                    <w:left w:val="none" w:sz="0" w:space="0" w:color="auto"/>
                                    <w:bottom w:val="none" w:sz="0" w:space="0" w:color="auto"/>
                                    <w:right w:val="none" w:sz="0" w:space="0" w:color="auto"/>
                                  </w:divBdr>
                                  <w:divsChild>
                                    <w:div w:id="157353280">
                                      <w:marLeft w:val="0"/>
                                      <w:marRight w:val="0"/>
                                      <w:marTop w:val="0"/>
                                      <w:marBottom w:val="0"/>
                                      <w:divBdr>
                                        <w:top w:val="none" w:sz="0" w:space="0" w:color="auto"/>
                                        <w:left w:val="none" w:sz="0" w:space="0" w:color="auto"/>
                                        <w:bottom w:val="none" w:sz="0" w:space="0" w:color="auto"/>
                                        <w:right w:val="none" w:sz="0" w:space="0" w:color="auto"/>
                                      </w:divBdr>
                                      <w:divsChild>
                                        <w:div w:id="1573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oadScadenza(14425)" TargetMode="External"/><Relationship Id="rId13" Type="http://schemas.openxmlformats.org/officeDocument/2006/relationships/hyperlink" Target="https://www.commercialistatelematico.com/articoli/2018/01/la-disciplina-della-detrazione-dell%e2%80%99iva-le-modifiche-introdotte-dal-d.l.502017-conv.legge-n.96-del-21-giugno-2017.html" TargetMode="External"/><Relationship Id="rId18" Type="http://schemas.openxmlformats.org/officeDocument/2006/relationships/hyperlink" Target="https://www.commercialistatelematico.com/articoli/2018/01/legge-di-bilancio-2018-legge-27-12-2017-n.205-testo-integrale.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nps.it/bussola/VisualizzaDoc.aspx?sVirtualURL=%2fCircolari%2fCircolare%20numero%201%20del%2003-01-2018.htm" TargetMode="External"/><Relationship Id="rId7" Type="http://schemas.openxmlformats.org/officeDocument/2006/relationships/hyperlink" Target="http://www.agenziaentrate.gov.it/wps/file/nsilib/nsi/documentazione/normativa+e+prassi/provvedimenti/2017/maggio+2017+provvedimenti/accertato+il+cambio+valute+del+mese+aprile/Povvedimento+accertato+cambio+aprile.pdf" TargetMode="External"/><Relationship Id="rId12" Type="http://schemas.openxmlformats.org/officeDocument/2006/relationships/hyperlink" Target="https://www.commercialistatelematico.com/articoli/2017/06/legge-21-giugno-2017-n-96-conversione-in-legge-con-modificazioni-del-decreto-legge-24-aprile-2017-n-50.html" TargetMode="External"/><Relationship Id="rId17" Type="http://schemas.openxmlformats.org/officeDocument/2006/relationships/hyperlink" Target="http://www.sviluppoeconomico.gov.it/index.php/it/normativa/circolari-note-direttive-e-atti-di-indirizzo/2037610-circolare-3703-c-del-9-gennaio-2018-prot-13757-autoriparazion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genziaentrate.gov.it/wps/file/nsilib/nsi/normativa+e+prassi/risoluzioni/archivio+risoluzioni/risoluzioni+2018/gennaio+2018+risoluzioni/risoluzione+n+5+del+16012018/RISOLUZIONE+N.+5_E+DEL+16+GENNAIO+2018.pdf" TargetMode="External"/><Relationship Id="rId20" Type="http://schemas.openxmlformats.org/officeDocument/2006/relationships/hyperlink" Target="https://www.inps.it/bussola/VisualizzaDoc.aspx?sVirtualURL=%2fCircolari%2fCircolare%20numero%201%20del%2003-01-2018.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ercialistatelematico.com/articoli/2017/06/legge-21-giugno-2017-n-96-conversione-in-legge-con-modificazioni-del-decreto-legge-24-aprile-2017-n-50.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genziaentrate.gov.it/wps/file/nsilib/nsi/normativa+e+prassi/risoluzioni/archivio+risoluzioni/risoluzioni+2018/gennaio+2018+risoluzioni/risoluzione+n+5+del+16012018/RISOLUZIONE+N.+5_E+DEL+16+GENNAIO+2018.pdf" TargetMode="External"/><Relationship Id="rId23" Type="http://schemas.openxmlformats.org/officeDocument/2006/relationships/header" Target="header1.xml"/><Relationship Id="rId10" Type="http://schemas.openxmlformats.org/officeDocument/2006/relationships/hyperlink" Target="http://www.inps.it/" TargetMode="External"/><Relationship Id="rId19" Type="http://schemas.openxmlformats.org/officeDocument/2006/relationships/hyperlink" Target="https://www.commercialistatelematico.com/articoli/2018/01/legge-di-bilancio-2018-legge-27-12-2017-n.205-testo-integrale.html" TargetMode="External"/><Relationship Id="rId4" Type="http://schemas.openxmlformats.org/officeDocument/2006/relationships/webSettings" Target="webSettings.xml"/><Relationship Id="rId9" Type="http://schemas.openxmlformats.org/officeDocument/2006/relationships/hyperlink" Target="https://www.commercialistatelematico.com/articoli/2018/01/legge-di-bilancio-2018-legge-27-12-2017-n.205-testo-integrale.html" TargetMode="External"/><Relationship Id="rId14" Type="http://schemas.openxmlformats.org/officeDocument/2006/relationships/hyperlink" Target="https://www.commercialistatelematico.com/articoli/2018/01/la-disciplina-della-detrazione-dell%e2%80%99iva-le-modifiche-introdotte-dal-d.l.502017-conv.legge-n.96-del-21-giugno-2017.html" TargetMode="External"/><Relationship Id="rId2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-32766</Words>
  <Characters>-32766</Characters>
  <Application>Microsoft Office Outlook</Application>
  <DocSecurity>0</DocSecurity>
  <Lines>0</Lines>
  <Paragraphs>0</Paragraphs>
  <ScaleCrop>false</ScaleCrop>
  <Company>commercialista telematico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settembre,SCADENZE, ALCUNE DELLE PRINCIPALI SCADENZE FISCALI</dc:title>
  <dc:subject/>
  <dc:creator>.</dc:creator>
  <cp:keywords>settembre,scadenze fiscali,tasse,contributi,F24,cosa scade</cp:keywords>
  <dc:description/>
  <cp:lastModifiedBy>utente</cp:lastModifiedBy>
  <cp:revision>2</cp:revision>
  <cp:lastPrinted>2017-03-13T08:47:00Z</cp:lastPrinted>
  <dcterms:created xsi:type="dcterms:W3CDTF">2018-02-16T16:45:00Z</dcterms:created>
  <dcterms:modified xsi:type="dcterms:W3CDTF">2018-02-16T16:45:00Z</dcterms:modified>
</cp:coreProperties>
</file>